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326F589D"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BB15B6">
        <w:rPr>
          <w:rFonts w:ascii="Times New Roman" w:hAnsi="Times New Roman" w:cs="Times New Roman"/>
        </w:rPr>
        <w:t xml:space="preserve">REQUEST FOR PROPOSAL </w:t>
      </w:r>
      <w:bookmarkStart w:id="0" w:name="_Hlk216274458"/>
      <w:r w:rsidR="00D56D59" w:rsidRPr="00BB15B6">
        <w:rPr>
          <w:rFonts w:ascii="Times New Roman" w:hAnsi="Times New Roman" w:cs="Times New Roman"/>
        </w:rPr>
        <w:t>RFP</w:t>
      </w:r>
      <w:r w:rsidR="00822575" w:rsidRPr="00BB15B6">
        <w:rPr>
          <w:rFonts w:ascii="Times New Roman" w:hAnsi="Times New Roman" w:cs="Times New Roman"/>
        </w:rPr>
        <w:t xml:space="preserve"> </w:t>
      </w:r>
      <w:r w:rsidRPr="00BB15B6">
        <w:rPr>
          <w:rFonts w:ascii="Times New Roman" w:hAnsi="Times New Roman" w:cs="Times New Roman"/>
        </w:rPr>
        <w:t>#</w:t>
      </w:r>
      <w:r w:rsidR="00D56D59" w:rsidRPr="00BB15B6">
        <w:rPr>
          <w:rFonts w:ascii="Times New Roman" w:hAnsi="Times New Roman" w:cs="Times New Roman"/>
        </w:rPr>
        <w:t>2025</w:t>
      </w:r>
      <w:r w:rsidR="00D56D59" w:rsidRPr="00BB15B6">
        <w:rPr>
          <w:rFonts w:ascii="Times New Roman" w:hAnsi="Times New Roman" w:cs="Times New Roman"/>
          <w:bCs/>
        </w:rPr>
        <w:t>1357015</w:t>
      </w:r>
      <w:r w:rsidRPr="00BB15B6">
        <w:rPr>
          <w:rFonts w:ascii="Times New Roman" w:hAnsi="Times New Roman" w:cs="Times New Roman"/>
        </w:rPr>
        <w:br/>
      </w:r>
      <w:bookmarkStart w:id="1" w:name="_Hlk216274240"/>
      <w:bookmarkStart w:id="2" w:name="_Hlk216275356"/>
      <w:r w:rsidR="00D56D59" w:rsidRPr="00BB15B6">
        <w:rPr>
          <w:rFonts w:ascii="Times New Roman" w:hAnsi="Times New Roman" w:cs="Times New Roman"/>
          <w:szCs w:val="22"/>
        </w:rPr>
        <w:t>Enterprise Platform Readiness</w:t>
      </w:r>
      <w:bookmarkEnd w:id="0"/>
      <w:bookmarkEnd w:id="1"/>
    </w:p>
    <w:bookmarkEnd w:id="2"/>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BD5AE2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t>
      </w:r>
      <w:r w:rsidRPr="00BB15B6">
        <w:rPr>
          <w:rFonts w:ascii="Times New Roman" w:hAnsi="Times New Roman" w:cs="Times New Roman"/>
          <w:szCs w:val="22"/>
        </w:rPr>
        <w:t>work (the “District”) is seeking proposals for the provision of</w:t>
      </w:r>
      <w:bookmarkStart w:id="3" w:name="OLE_LINK1"/>
      <w:r w:rsidRPr="00BB15B6">
        <w:rPr>
          <w:rFonts w:ascii="Times New Roman" w:hAnsi="Times New Roman" w:cs="Times New Roman"/>
          <w:szCs w:val="22"/>
        </w:rPr>
        <w:t xml:space="preserve"> </w:t>
      </w:r>
      <w:r w:rsidR="00D56D59" w:rsidRPr="00BB15B6">
        <w:rPr>
          <w:rFonts w:ascii="Times New Roman" w:hAnsi="Times New Roman" w:cs="Times New Roman"/>
          <w:szCs w:val="22"/>
        </w:rPr>
        <w:t>Enterprise Platform Readiness</w:t>
      </w:r>
      <w:r w:rsidRPr="009A3EA6">
        <w:rPr>
          <w:rFonts w:ascii="Times New Roman" w:hAnsi="Times New Roman" w:cs="Times New Roman"/>
          <w:szCs w:val="22"/>
        </w:rPr>
        <w:t>.</w:t>
      </w:r>
      <w:bookmarkEnd w:id="3"/>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4F586B9A"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BB15B6">
        <w:rPr>
          <w:rFonts w:ascii="Times New Roman" w:hAnsi="Times New Roman" w:cs="Times New Roman"/>
          <w:color w:val="0000FF"/>
          <w:u w:val="single"/>
        </w:rPr>
        <w:t>12-26-2025</w:t>
      </w:r>
    </w:p>
    <w:p w14:paraId="7574978A" w14:textId="5541642B"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BB15B6">
        <w:rPr>
          <w:rFonts w:ascii="Times New Roman" w:hAnsi="Times New Roman" w:cs="Times New Roman"/>
          <w:color w:val="0000FF"/>
          <w:u w:val="single"/>
        </w:rPr>
        <w:t>01-1</w:t>
      </w:r>
      <w:r w:rsidR="0044723D">
        <w:rPr>
          <w:rFonts w:ascii="Times New Roman" w:hAnsi="Times New Roman" w:cs="Times New Roman"/>
          <w:color w:val="0000FF"/>
          <w:u w:val="single"/>
        </w:rPr>
        <w:t>6</w:t>
      </w:r>
      <w:r w:rsidR="00BB15B6">
        <w:rPr>
          <w:rFonts w:ascii="Times New Roman" w:hAnsi="Times New Roman" w:cs="Times New Roman"/>
          <w:color w:val="0000FF"/>
          <w:u w:val="single"/>
        </w:rPr>
        <w:t>-2026</w:t>
      </w:r>
      <w:r w:rsidRPr="009A3EA6">
        <w:rPr>
          <w:rFonts w:ascii="Times New Roman" w:hAnsi="Times New Roman" w:cs="Times New Roman"/>
          <w:color w:val="0000FF"/>
          <w:u w:val="single"/>
        </w:rPr>
        <w:t>, 2:00 p.m. CST</w:t>
      </w:r>
      <w:r w:rsidR="00BB15B6">
        <w:rPr>
          <w:rFonts w:ascii="Times New Roman" w:hAnsi="Times New Roman" w:cs="Times New Roman"/>
          <w:color w:val="0000FF"/>
          <w:u w:val="single"/>
        </w:rPr>
        <w:t>-</w:t>
      </w:r>
      <w:r w:rsidRPr="009A3EA6">
        <w:rPr>
          <w:rFonts w:ascii="Times New Roman" w:hAnsi="Times New Roman" w:cs="Times New Roman"/>
          <w:color w:val="0000FF"/>
          <w:u w:val="single"/>
        </w:rPr>
        <w:t xml:space="preserve">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314A538B" w:rsidR="00EC7C8E" w:rsidRPr="00BB15B6" w:rsidRDefault="00BB15B6" w:rsidP="00BB15B6">
      <w:pPr>
        <w:rPr>
          <w:b/>
          <w:szCs w:val="22"/>
        </w:rPr>
      </w:pPr>
      <w:bookmarkStart w:id="4" w:name="_Ref66700099"/>
      <w:r>
        <w:rPr>
          <w:b/>
          <w:szCs w:val="22"/>
        </w:rPr>
        <w:lastRenderedPageBreak/>
        <w:t>-</w:t>
      </w:r>
      <w:r w:rsidR="00EC7C8E" w:rsidRPr="00BB15B6">
        <w:rPr>
          <w:b/>
          <w:szCs w:val="22"/>
        </w:rPr>
        <w:t>OVERVIEW</w:t>
      </w:r>
      <w:bookmarkEnd w:id="4"/>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6EBE7615" w:rsidR="00EC7C8E" w:rsidRPr="00BB15B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w:t>
      </w:r>
      <w:r w:rsidRPr="00BB15B6">
        <w:rPr>
          <w:rFonts w:ascii="Times New Roman" w:hAnsi="Times New Roman" w:cs="Times New Roman"/>
          <w:b w:val="0"/>
          <w:szCs w:val="22"/>
        </w:rPr>
        <w:t xml:space="preserve">ponse(s)”) to this Solicitation (“Solicitation”). The District is soliciting vendor proposals from vendors capable of supplying the District with </w:t>
      </w:r>
      <w:r w:rsidR="00D56D59" w:rsidRPr="00BB15B6">
        <w:rPr>
          <w:rFonts w:ascii="Times New Roman" w:hAnsi="Times New Roman" w:cs="Times New Roman"/>
          <w:szCs w:val="22"/>
        </w:rPr>
        <w:t>Enterprise Platform Readiness</w:t>
      </w:r>
      <w:r w:rsidR="00D56D59" w:rsidRPr="00BB15B6">
        <w:rPr>
          <w:rFonts w:ascii="Times New Roman" w:hAnsi="Times New Roman" w:cs="Times New Roman"/>
          <w:b w:val="0"/>
          <w:szCs w:val="22"/>
        </w:rPr>
        <w:t xml:space="preserve"> </w:t>
      </w:r>
      <w:r w:rsidRPr="00BB15B6">
        <w:rPr>
          <w:rFonts w:ascii="Times New Roman" w:hAnsi="Times New Roman" w:cs="Times New Roman"/>
          <w:b w:val="0"/>
          <w:szCs w:val="22"/>
        </w:rPr>
        <w:t>(the “</w:t>
      </w:r>
      <w:r w:rsidR="00D56D59" w:rsidRPr="00BB15B6">
        <w:rPr>
          <w:rFonts w:ascii="Times New Roman" w:hAnsi="Times New Roman" w:cs="Times New Roman"/>
          <w:b w:val="0"/>
          <w:szCs w:val="22"/>
        </w:rPr>
        <w:t>Product</w:t>
      </w:r>
      <w:r w:rsidRPr="00BB15B6">
        <w:rPr>
          <w:rFonts w:ascii="Times New Roman" w:hAnsi="Times New Roman" w:cs="Times New Roman"/>
          <w:b w:val="0"/>
          <w:szCs w:val="22"/>
        </w:rPr>
        <w:t>”), as set forth and specified herein (See</w:t>
      </w:r>
      <w:r w:rsidRPr="00BB15B6">
        <w:rPr>
          <w:rFonts w:ascii="Times New Roman" w:hAnsi="Times New Roman"/>
          <w:b w:val="0"/>
        </w:rPr>
        <w:t xml:space="preserve"> </w:t>
      </w:r>
      <w:r w:rsidRPr="00BB15B6">
        <w:rPr>
          <w:rFonts w:ascii="Times New Roman" w:hAnsi="Times New Roman" w:cs="Times New Roman"/>
          <w:szCs w:val="22"/>
        </w:rPr>
        <w:t xml:space="preserve">Section </w:t>
      </w:r>
      <w:r w:rsidRPr="00BB15B6">
        <w:rPr>
          <w:rFonts w:ascii="Times New Roman" w:hAnsi="Times New Roman" w:cs="Times New Roman"/>
          <w:szCs w:val="22"/>
        </w:rPr>
        <w:fldChar w:fldCharType="begin"/>
      </w:r>
      <w:r w:rsidRPr="00BB15B6">
        <w:rPr>
          <w:rFonts w:ascii="Times New Roman" w:hAnsi="Times New Roman" w:cs="Times New Roman"/>
          <w:szCs w:val="22"/>
        </w:rPr>
        <w:instrText xml:space="preserve"> REF _Ref66699916 \w \p \h </w:instrText>
      </w:r>
      <w:r w:rsidR="00BB15B6">
        <w:rPr>
          <w:rFonts w:ascii="Times New Roman" w:hAnsi="Times New Roman" w:cs="Times New Roman"/>
          <w:szCs w:val="22"/>
        </w:rPr>
        <w:instrText xml:space="preserve"> \* MERGEFORMAT </w:instrText>
      </w:r>
      <w:r w:rsidRPr="00BB15B6">
        <w:rPr>
          <w:rFonts w:ascii="Times New Roman" w:hAnsi="Times New Roman" w:cs="Times New Roman"/>
          <w:szCs w:val="22"/>
        </w:rPr>
      </w:r>
      <w:r w:rsidRPr="00BB15B6">
        <w:rPr>
          <w:rFonts w:ascii="Times New Roman" w:hAnsi="Times New Roman" w:cs="Times New Roman"/>
          <w:szCs w:val="22"/>
        </w:rPr>
        <w:fldChar w:fldCharType="separate"/>
      </w:r>
      <w:r w:rsidRPr="00BB15B6">
        <w:rPr>
          <w:rFonts w:ascii="Times New Roman" w:hAnsi="Times New Roman" w:cs="Times New Roman"/>
          <w:szCs w:val="22"/>
        </w:rPr>
        <w:t>II below</w:t>
      </w:r>
      <w:r w:rsidRPr="00BB15B6">
        <w:rPr>
          <w:rFonts w:ascii="Times New Roman" w:hAnsi="Times New Roman" w:cs="Times New Roman"/>
          <w:szCs w:val="22"/>
        </w:rPr>
        <w:fldChar w:fldCharType="end"/>
      </w:r>
      <w:r w:rsidRPr="00BB15B6">
        <w:rPr>
          <w:rFonts w:ascii="Times New Roman" w:hAnsi="Times New Roman" w:cs="Times New Roman"/>
          <w:szCs w:val="22"/>
        </w:rPr>
        <w:t xml:space="preserve">, </w:t>
      </w:r>
      <w:r w:rsidRPr="00BB15B6">
        <w:rPr>
          <w:rFonts w:ascii="Times New Roman" w:hAnsi="Times New Roman" w:cs="Times New Roman"/>
          <w:szCs w:val="22"/>
        </w:rPr>
        <w:fldChar w:fldCharType="begin"/>
      </w:r>
      <w:r w:rsidRPr="00BB15B6">
        <w:rPr>
          <w:rFonts w:ascii="Times New Roman" w:hAnsi="Times New Roman" w:cs="Times New Roman"/>
          <w:szCs w:val="22"/>
        </w:rPr>
        <w:instrText xml:space="preserve"> REF _Ref66699916 \h  \* MERGEFORMAT </w:instrText>
      </w:r>
      <w:r w:rsidRPr="00BB15B6">
        <w:rPr>
          <w:rFonts w:ascii="Times New Roman" w:hAnsi="Times New Roman" w:cs="Times New Roman"/>
          <w:szCs w:val="22"/>
        </w:rPr>
      </w:r>
      <w:r w:rsidRPr="00BB15B6">
        <w:rPr>
          <w:rFonts w:ascii="Times New Roman" w:hAnsi="Times New Roman" w:cs="Times New Roman"/>
          <w:szCs w:val="22"/>
        </w:rPr>
        <w:fldChar w:fldCharType="separate"/>
      </w:r>
      <w:r w:rsidRPr="00BB15B6">
        <w:rPr>
          <w:rFonts w:ascii="Times New Roman" w:hAnsi="Times New Roman" w:cs="Times New Roman"/>
          <w:szCs w:val="22"/>
        </w:rPr>
        <w:t>Business Requirements</w:t>
      </w:r>
      <w:r w:rsidRPr="00BB15B6">
        <w:rPr>
          <w:rFonts w:ascii="Times New Roman" w:hAnsi="Times New Roman" w:cs="Times New Roman"/>
          <w:szCs w:val="22"/>
        </w:rPr>
        <w:fldChar w:fldCharType="end"/>
      </w:r>
      <w:r w:rsidRPr="00BB15B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BB15B6">
        <w:rPr>
          <w:rFonts w:ascii="Times New Roman" w:hAnsi="Times New Roman" w:cs="Times New Roman"/>
          <w:szCs w:val="22"/>
        </w:rPr>
        <w:t xml:space="preserve">Section </w:t>
      </w:r>
      <w:r w:rsidRPr="00BB15B6">
        <w:rPr>
          <w:rFonts w:ascii="Times New Roman" w:hAnsi="Times New Roman" w:cs="Times New Roman"/>
          <w:szCs w:val="22"/>
        </w:rPr>
        <w:fldChar w:fldCharType="begin"/>
      </w:r>
      <w:r w:rsidRPr="00BB15B6">
        <w:rPr>
          <w:rFonts w:ascii="Times New Roman" w:hAnsi="Times New Roman" w:cs="Times New Roman"/>
          <w:szCs w:val="22"/>
        </w:rPr>
        <w:instrText xml:space="preserve"> REF _Ref66699951 \w \h </w:instrText>
      </w:r>
      <w:r w:rsidR="00BB15B6">
        <w:rPr>
          <w:rFonts w:ascii="Times New Roman" w:hAnsi="Times New Roman" w:cs="Times New Roman"/>
          <w:szCs w:val="22"/>
        </w:rPr>
        <w:instrText xml:space="preserve"> \* MERGEFORMAT </w:instrText>
      </w:r>
      <w:r w:rsidRPr="00BB15B6">
        <w:rPr>
          <w:rFonts w:ascii="Times New Roman" w:hAnsi="Times New Roman" w:cs="Times New Roman"/>
          <w:szCs w:val="22"/>
        </w:rPr>
      </w:r>
      <w:r w:rsidRPr="00BB15B6">
        <w:rPr>
          <w:rFonts w:ascii="Times New Roman" w:hAnsi="Times New Roman" w:cs="Times New Roman"/>
          <w:szCs w:val="22"/>
        </w:rPr>
        <w:fldChar w:fldCharType="separate"/>
      </w:r>
      <w:r w:rsidRPr="00BB15B6">
        <w:rPr>
          <w:rFonts w:ascii="Times New Roman" w:hAnsi="Times New Roman" w:cs="Times New Roman"/>
          <w:szCs w:val="22"/>
        </w:rPr>
        <w:t>I.B</w:t>
      </w:r>
      <w:r w:rsidRPr="00BB15B6">
        <w:rPr>
          <w:rFonts w:ascii="Times New Roman" w:hAnsi="Times New Roman" w:cs="Times New Roman"/>
          <w:szCs w:val="22"/>
        </w:rPr>
        <w:fldChar w:fldCharType="end"/>
      </w:r>
      <w:r w:rsidRPr="00BB15B6">
        <w:rPr>
          <w:rFonts w:ascii="Times New Roman" w:hAnsi="Times New Roman"/>
          <w:b w:val="0"/>
        </w:rPr>
        <w:t xml:space="preserve"> </w:t>
      </w:r>
      <w:r w:rsidRPr="00BB15B6">
        <w:rPr>
          <w:rFonts w:ascii="Times New Roman" w:hAnsi="Times New Roman" w:cs="Times New Roman"/>
          <w:b w:val="0"/>
          <w:szCs w:val="22"/>
        </w:rPr>
        <w:t xml:space="preserve">hereof to be considered a Solicitation Response by the District. </w:t>
      </w:r>
    </w:p>
    <w:p w14:paraId="3688511B" w14:textId="1BC507A8" w:rsidR="00EC7C8E" w:rsidRPr="00BB15B6" w:rsidRDefault="00EC7C8E" w:rsidP="00EC7C8E">
      <w:pPr>
        <w:pStyle w:val="Heading2para"/>
        <w:spacing w:before="0"/>
        <w:ind w:left="0" w:firstLine="0"/>
        <w:jc w:val="both"/>
        <w:rPr>
          <w:rFonts w:eastAsia="Calibri"/>
        </w:rPr>
      </w:pPr>
      <w:r w:rsidRPr="00BB15B6">
        <w:rPr>
          <w:rFonts w:cs="Times New Roman"/>
          <w:szCs w:val="22"/>
        </w:rPr>
        <w:t xml:space="preserve">A Solicitation Response does not commit the </w:t>
      </w:r>
      <w:proofErr w:type="gramStart"/>
      <w:r w:rsidRPr="00BB15B6">
        <w:rPr>
          <w:rFonts w:cs="Times New Roman"/>
          <w:szCs w:val="22"/>
        </w:rPr>
        <w:t>District</w:t>
      </w:r>
      <w:proofErr w:type="gramEnd"/>
      <w:r w:rsidRPr="00BB15B6">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BB15B6">
        <w:rPr>
          <w:rFonts w:cs="Times New Roman"/>
          <w:szCs w:val="22"/>
        </w:rPr>
        <w:t>District</w:t>
      </w:r>
      <w:proofErr w:type="gramEnd"/>
      <w:r w:rsidRPr="00BB15B6">
        <w:rPr>
          <w:rFonts w:cs="Times New Roman"/>
          <w:szCs w:val="22"/>
        </w:rPr>
        <w:t xml:space="preserve"> expressly reserves the right to base any Contract Award hereunder upon its evaluation of all relevant factors regarding the vendor, including, but not limited to, </w:t>
      </w:r>
      <w:r w:rsidR="00D56D59" w:rsidRPr="00BB15B6">
        <w:t>Product</w:t>
      </w:r>
      <w:r w:rsidRPr="00BB15B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BB15B6">
        <w:rPr>
          <w:rFonts w:eastAsia="Calibri"/>
        </w:rPr>
        <w:t xml:space="preserve">Qualifications and omissions will be considered when evaluating vendor solicitation responses. A Solicitation Response that does not meet the minimum requirements set forth in </w:t>
      </w:r>
      <w:r w:rsidRPr="00BB15B6">
        <w:rPr>
          <w:rFonts w:cs="Times New Roman"/>
          <w:szCs w:val="22"/>
        </w:rPr>
        <w:t xml:space="preserve">Section </w:t>
      </w:r>
      <w:r w:rsidRPr="00BB15B6">
        <w:rPr>
          <w:rFonts w:cs="Times New Roman"/>
          <w:szCs w:val="22"/>
        </w:rPr>
        <w:fldChar w:fldCharType="begin"/>
      </w:r>
      <w:r w:rsidRPr="00BB15B6">
        <w:rPr>
          <w:rFonts w:cs="Times New Roman"/>
          <w:szCs w:val="22"/>
        </w:rPr>
        <w:instrText xml:space="preserve"> REF _Ref66699916 \w \p \h </w:instrText>
      </w:r>
      <w:r w:rsidR="00BB15B6">
        <w:rPr>
          <w:rFonts w:cs="Times New Roman"/>
          <w:szCs w:val="22"/>
        </w:rPr>
        <w:instrText xml:space="preserve"> \* MERGEFORMAT </w:instrText>
      </w:r>
      <w:r w:rsidRPr="00BB15B6">
        <w:rPr>
          <w:rFonts w:cs="Times New Roman"/>
          <w:szCs w:val="22"/>
        </w:rPr>
      </w:r>
      <w:r w:rsidRPr="00BB15B6">
        <w:rPr>
          <w:rFonts w:cs="Times New Roman"/>
          <w:szCs w:val="22"/>
        </w:rPr>
        <w:fldChar w:fldCharType="separate"/>
      </w:r>
      <w:r w:rsidRPr="00BB15B6">
        <w:rPr>
          <w:rFonts w:cs="Times New Roman"/>
          <w:szCs w:val="22"/>
        </w:rPr>
        <w:t>II below</w:t>
      </w:r>
      <w:r w:rsidRPr="00BB15B6">
        <w:rPr>
          <w:rFonts w:cs="Times New Roman"/>
          <w:szCs w:val="22"/>
        </w:rPr>
        <w:fldChar w:fldCharType="end"/>
      </w:r>
      <w:r w:rsidRPr="00BB15B6">
        <w:rPr>
          <w:rFonts w:cs="Times New Roman"/>
          <w:szCs w:val="22"/>
        </w:rPr>
        <w:t xml:space="preserve">, </w:t>
      </w:r>
      <w:r w:rsidRPr="00BB15B6">
        <w:rPr>
          <w:rFonts w:cs="Times New Roman"/>
          <w:i/>
          <w:iCs/>
          <w:szCs w:val="22"/>
        </w:rPr>
        <w:fldChar w:fldCharType="begin"/>
      </w:r>
      <w:r w:rsidRPr="00BB15B6">
        <w:rPr>
          <w:rFonts w:cs="Times New Roman"/>
          <w:i/>
          <w:iCs/>
          <w:szCs w:val="22"/>
        </w:rPr>
        <w:instrText xml:space="preserve"> REF _Ref66699916 \h  \* MERGEFORMAT </w:instrText>
      </w:r>
      <w:r w:rsidRPr="00BB15B6">
        <w:rPr>
          <w:rFonts w:cs="Times New Roman"/>
          <w:i/>
          <w:iCs/>
          <w:szCs w:val="22"/>
        </w:rPr>
      </w:r>
      <w:r w:rsidRPr="00BB15B6">
        <w:rPr>
          <w:rFonts w:cs="Times New Roman"/>
          <w:i/>
          <w:iCs/>
          <w:szCs w:val="22"/>
        </w:rPr>
        <w:fldChar w:fldCharType="separate"/>
      </w:r>
      <w:r w:rsidRPr="00BB15B6">
        <w:rPr>
          <w:rFonts w:cs="Times New Roman"/>
          <w:i/>
          <w:iCs/>
          <w:szCs w:val="22"/>
        </w:rPr>
        <w:t>Business Requirements</w:t>
      </w:r>
      <w:r w:rsidRPr="00BB15B6">
        <w:rPr>
          <w:rFonts w:cs="Times New Roman"/>
          <w:i/>
          <w:iCs/>
          <w:szCs w:val="22"/>
        </w:rPr>
        <w:fldChar w:fldCharType="end"/>
      </w:r>
      <w:r w:rsidRPr="00BB15B6">
        <w:rPr>
          <w:rFonts w:cs="Times New Roman"/>
          <w:szCs w:val="22"/>
        </w:rPr>
        <w:t>, will be disqualified.</w:t>
      </w:r>
    </w:p>
    <w:p w14:paraId="269C45E9" w14:textId="55977D47" w:rsidR="00EC7C8E" w:rsidRPr="009A3EA6" w:rsidRDefault="00EC7C8E" w:rsidP="00EC7C8E">
      <w:pPr>
        <w:pStyle w:val="Heading2para"/>
        <w:spacing w:before="0"/>
        <w:ind w:left="0" w:firstLine="0"/>
        <w:jc w:val="both"/>
        <w:rPr>
          <w:rFonts w:cs="Times New Roman"/>
          <w:szCs w:val="22"/>
        </w:rPr>
      </w:pPr>
      <w:r w:rsidRPr="00BB15B6">
        <w:rPr>
          <w:rFonts w:cs="Times New Roman"/>
          <w:szCs w:val="22"/>
        </w:rPr>
        <w:t xml:space="preserve">This Solicitation is not an order and does not commit the </w:t>
      </w:r>
      <w:proofErr w:type="gramStart"/>
      <w:r w:rsidRPr="00BB15B6">
        <w:rPr>
          <w:rFonts w:cs="Times New Roman"/>
          <w:szCs w:val="22"/>
        </w:rPr>
        <w:t>District</w:t>
      </w:r>
      <w:proofErr w:type="gramEnd"/>
      <w:r w:rsidRPr="00BB15B6">
        <w:rPr>
          <w:rFonts w:cs="Times New Roman"/>
          <w:szCs w:val="22"/>
        </w:rPr>
        <w:t xml:space="preserve"> to pay for any costs incurred by the prospective vendor in the preparation or submission of the Solicitation or in the procurement of the </w:t>
      </w:r>
      <w:r w:rsidR="00D56D59" w:rsidRPr="00BB15B6">
        <w:t>Product</w:t>
      </w:r>
      <w:r w:rsidRPr="00BB15B6">
        <w:rPr>
          <w:rFonts w:cs="Times New Roman"/>
          <w:szCs w:val="22"/>
        </w:rPr>
        <w:t xml:space="preserve">.  </w:t>
      </w:r>
      <w:r w:rsidR="00D56D59" w:rsidRPr="00BB15B6">
        <w:t>Product</w:t>
      </w:r>
      <w:r w:rsidRPr="00BB15B6">
        <w:rPr>
          <w:rFonts w:cs="Times New Roman"/>
          <w:szCs w:val="22"/>
        </w:rPr>
        <w:t xml:space="preserve"> quantity estimates used herein may or may not reflect actual quantities needed or used by the </w:t>
      </w:r>
      <w:proofErr w:type="gramStart"/>
      <w:r w:rsidRPr="00BB15B6">
        <w:rPr>
          <w:rFonts w:cs="Times New Roman"/>
          <w:szCs w:val="22"/>
        </w:rPr>
        <w:t>District</w:t>
      </w:r>
      <w:proofErr w:type="gramEnd"/>
      <w:r w:rsidRPr="00BB15B6">
        <w:rPr>
          <w:rFonts w:cs="Times New Roman"/>
          <w:szCs w:val="22"/>
        </w:rPr>
        <w:t xml:space="preserve"> in the future, and do not commit the </w:t>
      </w:r>
      <w:proofErr w:type="gramStart"/>
      <w:r w:rsidRPr="00BB15B6">
        <w:rPr>
          <w:rFonts w:cs="Times New Roman"/>
          <w:szCs w:val="22"/>
        </w:rPr>
        <w:t>District</w:t>
      </w:r>
      <w:proofErr w:type="gramEnd"/>
      <w:r w:rsidRPr="00BB15B6">
        <w:rPr>
          <w:rFonts w:cs="Times New Roman"/>
          <w:szCs w:val="22"/>
        </w:rPr>
        <w:t xml:space="preserve"> to order specific </w:t>
      </w:r>
      <w:r w:rsidR="00D56D59" w:rsidRPr="00BB15B6">
        <w:t>Product</w:t>
      </w:r>
      <w:r w:rsidRPr="009A3EA6">
        <w:rPr>
          <w:rFonts w:cs="Times New Roman"/>
          <w:szCs w:val="22"/>
        </w:rPr>
        <w:t xml:space="preserve"> 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5"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5"/>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6"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7" w:name="_Ref66699951"/>
      <w:bookmarkEnd w:id="6"/>
      <w:r w:rsidRPr="009A3EA6">
        <w:rPr>
          <w:rFonts w:cs="Times New Roman"/>
          <w:b/>
          <w:szCs w:val="22"/>
          <w:u w:val="single"/>
        </w:rPr>
        <w:t>SOLICITATION RESPONSE REQUIREMENTS, CONDITIONS AND RELATED INFORMATION</w:t>
      </w:r>
      <w:bookmarkEnd w:id="7"/>
    </w:p>
    <w:p w14:paraId="484CD052" w14:textId="77777777" w:rsidR="00EC7C8E" w:rsidRPr="009A3EA6" w:rsidRDefault="00EC7C8E" w:rsidP="00C67BCE">
      <w:pPr>
        <w:pStyle w:val="ListParagraph"/>
        <w:numPr>
          <w:ilvl w:val="2"/>
          <w:numId w:val="6"/>
        </w:numPr>
        <w:spacing w:after="220"/>
        <w:rPr>
          <w:rFonts w:cs="Times New Roman"/>
          <w:b/>
          <w:szCs w:val="22"/>
        </w:rPr>
      </w:pPr>
      <w:bookmarkStart w:id="8" w:name="_Ref66700117"/>
      <w:r w:rsidRPr="009A3EA6">
        <w:rPr>
          <w:rFonts w:cs="Times New Roman"/>
          <w:b/>
          <w:szCs w:val="22"/>
        </w:rPr>
        <w:t>Preparation of Solicitation Response.</w:t>
      </w:r>
      <w:bookmarkEnd w:id="8"/>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9"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9"/>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10" w:name="_Ref66702907"/>
      <w:r w:rsidRPr="009A3EA6">
        <w:rPr>
          <w:rFonts w:cs="Times New Roman"/>
          <w:b/>
          <w:szCs w:val="22"/>
        </w:rPr>
        <w:t>Form of Contract.</w:t>
      </w:r>
      <w:bookmarkEnd w:id="10"/>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11" w:name="_BPDC_LN_INS_1213"/>
      <w:bookmarkStart w:id="12" w:name="_BPDC_PR_INS_1214"/>
      <w:bookmarkStart w:id="13" w:name="_Hlk213825393"/>
      <w:bookmarkEnd w:id="11"/>
      <w:bookmarkEnd w:id="12"/>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4" w:name="_BPDC_LN_INS_1211"/>
      <w:bookmarkStart w:id="15" w:name="_BPDC_PR_INS_1212"/>
      <w:bookmarkEnd w:id="13"/>
      <w:bookmarkEnd w:id="14"/>
      <w:bookmarkEnd w:id="15"/>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9"/>
      <w:bookmarkStart w:id="17" w:name="_BPDC_PR_INS_1210"/>
      <w:bookmarkEnd w:id="16"/>
      <w:bookmarkEnd w:id="17"/>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7"/>
      <w:bookmarkStart w:id="19" w:name="_BPDC_PR_INS_1208"/>
      <w:bookmarkEnd w:id="18"/>
      <w:bookmarkEnd w:id="19"/>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5"/>
      <w:bookmarkStart w:id="21" w:name="_BPDC_PR_INS_1206"/>
      <w:bookmarkEnd w:id="20"/>
      <w:bookmarkEnd w:id="21"/>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2" w:name="_BPDC_LN_INS_1203"/>
      <w:bookmarkStart w:id="23" w:name="_BPDC_PR_INS_1204"/>
      <w:bookmarkEnd w:id="22"/>
      <w:bookmarkEnd w:id="23"/>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23934AD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BB15B6" w:rsidRPr="00BB15B6">
        <w:rPr>
          <w:b/>
          <w:szCs w:val="22"/>
          <w:highlight w:val="yellow"/>
        </w:rPr>
        <w:t>01-1</w:t>
      </w:r>
      <w:r w:rsidR="0044723D">
        <w:rPr>
          <w:b/>
          <w:szCs w:val="22"/>
          <w:highlight w:val="yellow"/>
        </w:rPr>
        <w:t>6</w:t>
      </w:r>
      <w:r w:rsidR="00BB15B6" w:rsidRPr="00BB15B6">
        <w:rPr>
          <w:b/>
          <w:szCs w:val="22"/>
          <w:highlight w:val="yellow"/>
        </w:rPr>
        <w:t>-2026</w:t>
      </w:r>
      <w:r w:rsidRPr="00BB15B6">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4" w:name="_Ref66700208"/>
      <w:r w:rsidRPr="009A3EA6">
        <w:rPr>
          <w:b/>
        </w:rPr>
        <w:t>Estimated Schedule</w:t>
      </w:r>
      <w:bookmarkEnd w:id="24"/>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0070D1D4" w:rsidR="00EC7C8E" w:rsidRPr="009A3EA6" w:rsidRDefault="00BB15B6" w:rsidP="00EC7C8E">
            <w:pPr>
              <w:pStyle w:val="TableText"/>
              <w:spacing w:after="0"/>
              <w:rPr>
                <w:b/>
                <w:color w:val="0000FF"/>
                <w:highlight w:val="yellow"/>
              </w:rPr>
            </w:pPr>
            <w:r>
              <w:rPr>
                <w:b/>
                <w:color w:val="0000FF"/>
                <w:highlight w:val="yellow"/>
              </w:rPr>
              <w:t>12-26-2025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21D557F" w:rsidR="00EC7C8E" w:rsidRPr="009A3EA6" w:rsidRDefault="00BB15B6" w:rsidP="00EC7C8E">
            <w:pPr>
              <w:pStyle w:val="TableText"/>
              <w:spacing w:after="0"/>
              <w:rPr>
                <w:b/>
                <w:color w:val="0000FF"/>
                <w:highlight w:val="yellow"/>
              </w:rPr>
            </w:pPr>
            <w:r>
              <w:rPr>
                <w:b/>
                <w:color w:val="0000FF"/>
                <w:highlight w:val="yellow"/>
              </w:rPr>
              <w:t>01-05-2026</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5D74DADA" w:rsidR="00EC7C8E" w:rsidRPr="009A3EA6" w:rsidRDefault="00BB15B6" w:rsidP="00EC7C8E">
            <w:pPr>
              <w:pStyle w:val="TableText"/>
              <w:spacing w:after="0"/>
              <w:rPr>
                <w:b/>
                <w:color w:val="0000FF"/>
                <w:highlight w:val="yellow"/>
              </w:rPr>
            </w:pPr>
            <w:r>
              <w:rPr>
                <w:b/>
                <w:color w:val="0000FF"/>
                <w:highlight w:val="yellow"/>
              </w:rPr>
              <w:t>01-1</w:t>
            </w:r>
            <w:r w:rsidR="008F2181">
              <w:rPr>
                <w:b/>
                <w:color w:val="0000FF"/>
                <w:highlight w:val="yellow"/>
              </w:rPr>
              <w:t>6-2026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5" w:name="_Ref66699862"/>
      <w:r w:rsidRPr="009A3EA6">
        <w:rPr>
          <w:b/>
        </w:rPr>
        <w:t>District Solicitation Contact</w:t>
      </w:r>
      <w:bookmarkEnd w:id="25"/>
    </w:p>
    <w:p w14:paraId="17A0FFA8" w14:textId="6545AD13"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8F2181">
        <w:rPr>
          <w:rFonts w:cs="Times New Roman"/>
          <w:b/>
          <w:szCs w:val="22"/>
          <w:highlight w:val="yellow"/>
        </w:rPr>
        <w:t>01-05-2026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2FA2B90" w:rsidR="00EC7C8E" w:rsidRPr="009A3EA6" w:rsidRDefault="00D56D59"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0818D6D3" w:rsidR="00EC7C8E" w:rsidRPr="009A3EA6" w:rsidRDefault="00D56D59" w:rsidP="00EC7C8E">
      <w:pPr>
        <w:keepNext/>
        <w:ind w:left="720"/>
        <w:jc w:val="both"/>
      </w:pPr>
      <w:r>
        <w:t>1500 S. Main</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6" w:name="B_Hlt529005057"/>
      <w:bookmarkEnd w:id="26"/>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7" w:name="_Ref66699916"/>
      <w:r w:rsidRPr="009A3EA6">
        <w:rPr>
          <w:rFonts w:cs="Times New Roman"/>
          <w:b/>
          <w:szCs w:val="22"/>
        </w:rPr>
        <w:t>BUSINESS REQUIREMENTS</w:t>
      </w:r>
      <w:bookmarkEnd w:id="27"/>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468F542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w:t>
      </w:r>
      <w:r w:rsidR="00681B46">
        <w:rPr>
          <w:rFonts w:eastAsia="Calibri" w:cs="Times New Roman"/>
          <w:szCs w:val="22"/>
        </w:rPr>
        <w:t xml:space="preserve">for Enterprise Platform Readiness, </w:t>
      </w:r>
      <w:r w:rsidR="00681B46" w:rsidRPr="00681B46">
        <w:rPr>
          <w:rFonts w:eastAsia="Calibri" w:cs="Times New Roman"/>
          <w:szCs w:val="22"/>
        </w:rPr>
        <w:t>from qualified Managed Service Providers (MSPs) to operate a comprehensive managed cloud environment on Microsoft Azure.</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8" w:name="SecC"/>
      <w:r w:rsidRPr="009A3EA6">
        <w:rPr>
          <w:rFonts w:eastAsia="Calibri"/>
          <w:b/>
          <w:u w:val="single"/>
        </w:rPr>
        <w:t>PROJECT SCOPE</w:t>
      </w:r>
    </w:p>
    <w:bookmarkEnd w:id="28"/>
    <w:p w14:paraId="6C48E8C3" w14:textId="77777777" w:rsidR="00681B46" w:rsidRPr="008F2181" w:rsidRDefault="00681B46" w:rsidP="00681B46">
      <w:pPr>
        <w:spacing w:before="220" w:after="220"/>
        <w:jc w:val="both"/>
        <w:rPr>
          <w:rFonts w:eastAsia="Calibri"/>
        </w:rPr>
      </w:pPr>
      <w:r w:rsidRPr="008F2181">
        <w:rPr>
          <w:rFonts w:eastAsia="Calibri"/>
        </w:rPr>
        <w:t xml:space="preserve">JPS Health is soliciting proposals from qualified Managed Service Providers (MSPs) to operate a </w:t>
      </w:r>
      <w:proofErr w:type="gramStart"/>
      <w:r w:rsidRPr="008F2181">
        <w:rPr>
          <w:rFonts w:eastAsia="Calibri"/>
        </w:rPr>
        <w:t>comprehensive</w:t>
      </w:r>
      <w:proofErr w:type="gramEnd"/>
      <w:r w:rsidRPr="008F2181">
        <w:rPr>
          <w:rFonts w:eastAsia="Calibri"/>
        </w:rPr>
        <w:t xml:space="preserve"> managed cloud environment on Microsoft Azure.</w:t>
      </w:r>
    </w:p>
    <w:p w14:paraId="2BF470AE" w14:textId="77777777" w:rsidR="00681B46" w:rsidRPr="008F2181" w:rsidRDefault="00681B46" w:rsidP="00681B46">
      <w:pPr>
        <w:spacing w:before="220" w:after="220"/>
        <w:jc w:val="both"/>
        <w:rPr>
          <w:rFonts w:eastAsia="Calibri"/>
        </w:rPr>
      </w:pPr>
      <w:r w:rsidRPr="008F2181">
        <w:rPr>
          <w:rFonts w:eastAsia="Calibri"/>
        </w:rPr>
        <w:t>The primary objective is for the selected Vendor (MSP) to assume full Operational and Tactical (L1-L3) ownership of the entire Azure infrastructure (IaaS and PaaS), including optimization, and ongoing management of the mission-critical Epic EMR system (all environments: production, non-production, disaster recovery) and ancillary applications (known as ecosystem apps).</w:t>
      </w:r>
    </w:p>
    <w:p w14:paraId="1538AD37" w14:textId="77777777" w:rsidR="008F2181" w:rsidRPr="008F2181" w:rsidRDefault="00681B46" w:rsidP="00531FA4">
      <w:pPr>
        <w:pStyle w:val="ListParagraph"/>
        <w:numPr>
          <w:ilvl w:val="0"/>
          <w:numId w:val="16"/>
        </w:numPr>
        <w:spacing w:before="220" w:after="220"/>
        <w:jc w:val="both"/>
        <w:rPr>
          <w:rFonts w:eastAsia="Calibri"/>
        </w:rPr>
      </w:pPr>
      <w:r w:rsidRPr="008F2181">
        <w:rPr>
          <w:rFonts w:eastAsia="Calibri"/>
        </w:rPr>
        <w:t>Scope of responsibility will include management of existing Azure cloud workloads, and ultimately at the end of a two-year period the management of the remaining on prem workloads moved to Azure.</w:t>
      </w:r>
    </w:p>
    <w:p w14:paraId="5F15AE2D" w14:textId="0BC810C9" w:rsidR="00681B46" w:rsidRPr="008F2181" w:rsidRDefault="00681B46" w:rsidP="00531FA4">
      <w:pPr>
        <w:pStyle w:val="ListParagraph"/>
        <w:numPr>
          <w:ilvl w:val="0"/>
          <w:numId w:val="16"/>
        </w:numPr>
        <w:spacing w:before="220" w:after="220"/>
        <w:jc w:val="both"/>
        <w:rPr>
          <w:rFonts w:eastAsia="Calibri"/>
        </w:rPr>
      </w:pPr>
      <w:r w:rsidRPr="008F2181">
        <w:rPr>
          <w:rFonts w:eastAsia="Calibri"/>
        </w:rPr>
        <w:lastRenderedPageBreak/>
        <w:t>JPS’s strategic endeavor is to eliminate our existing on premises data center.</w:t>
      </w:r>
    </w:p>
    <w:p w14:paraId="5DC7E3C4" w14:textId="6B0F911F" w:rsidR="00681B46" w:rsidRPr="008F2181" w:rsidRDefault="00681B46" w:rsidP="00681B46">
      <w:pPr>
        <w:numPr>
          <w:ilvl w:val="0"/>
          <w:numId w:val="16"/>
        </w:numPr>
        <w:spacing w:before="220" w:after="220"/>
        <w:jc w:val="both"/>
        <w:rPr>
          <w:rFonts w:eastAsia="Calibri"/>
        </w:rPr>
      </w:pPr>
      <w:r w:rsidRPr="008F2181">
        <w:rPr>
          <w:rFonts w:eastAsia="Calibri"/>
        </w:rPr>
        <w:t xml:space="preserve">This engagement utilizes a Shared Responsibility Model (see Section </w:t>
      </w:r>
      <w:r w:rsidR="001032B6">
        <w:rPr>
          <w:rFonts w:eastAsia="Calibri"/>
        </w:rPr>
        <w:t>E3.</w:t>
      </w:r>
      <w:r w:rsidRPr="008F2181">
        <w:rPr>
          <w:rFonts w:eastAsia="Calibri"/>
        </w:rPr>
        <w:t>), where the Vendor's operational focus on high-effort, recurring tasks enables JPS Health’s internal IT staff to pivot their focus to strategic cloud architecture, security policy, governance, and business alignment.</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9" w:name="_BPDC_LN_INS_1201"/>
      <w:bookmarkStart w:id="30" w:name="_BPDC_PR_INS_1202"/>
      <w:bookmarkStart w:id="31" w:name="_BPDC_LN_INS_1199"/>
      <w:bookmarkStart w:id="32" w:name="_BPDC_PR_INS_1200"/>
      <w:bookmarkStart w:id="33" w:name="_BPDC_LN_INS_1197"/>
      <w:bookmarkStart w:id="34" w:name="_BPDC_PR_INS_1198"/>
      <w:bookmarkStart w:id="35" w:name="_BPDC_LN_INS_1195"/>
      <w:bookmarkStart w:id="36" w:name="_BPDC_PR_INS_1196"/>
      <w:bookmarkStart w:id="37" w:name="_BPDC_LN_INS_1193"/>
      <w:bookmarkStart w:id="38" w:name="_BPDC_PR_INS_1194"/>
      <w:bookmarkStart w:id="39" w:name="_BPDC_LN_INS_1191"/>
      <w:bookmarkStart w:id="40" w:name="_BPDC_PR_INS_1192"/>
      <w:bookmarkStart w:id="41" w:name="_BPDC_LN_INS_1189"/>
      <w:bookmarkStart w:id="42" w:name="_BPDC_PR_INS_1190"/>
      <w:bookmarkStart w:id="43" w:name="_BPDC_LN_INS_1187"/>
      <w:bookmarkStart w:id="44" w:name="_BPDC_PR_INS_1188"/>
      <w:bookmarkStart w:id="45" w:name="_BPDC_LN_INS_1185"/>
      <w:bookmarkStart w:id="46" w:name="_BPDC_PR_INS_1186"/>
      <w:bookmarkStart w:id="47" w:name="_BPDC_LN_INS_1183"/>
      <w:bookmarkStart w:id="48" w:name="_BPDC_PR_INS_1184"/>
      <w:bookmarkStart w:id="49" w:name="_BPDC_LN_INS_1181"/>
      <w:bookmarkStart w:id="50" w:name="_BPDC_PR_INS_1182"/>
      <w:bookmarkStart w:id="51" w:name="_BPDC_LN_INS_1179"/>
      <w:bookmarkStart w:id="52" w:name="_BPDC_PR_INS_1180"/>
      <w:bookmarkStart w:id="53" w:name="_BPDC_LN_INS_1177"/>
      <w:bookmarkStart w:id="54" w:name="_BPDC_PR_INS_1178"/>
      <w:bookmarkStart w:id="55" w:name="_BPDC_LN_INS_1175"/>
      <w:bookmarkStart w:id="56" w:name="_BPDC_PR_INS_1176"/>
      <w:bookmarkStart w:id="57" w:name="_BPDC_LN_INS_1173"/>
      <w:bookmarkStart w:id="58" w:name="_BPDC_PR_INS_1174"/>
      <w:bookmarkStart w:id="59" w:name="_BPDC_LN_INS_1171"/>
      <w:bookmarkStart w:id="60" w:name="_BPDC_PR_INS_1172"/>
      <w:bookmarkStart w:id="61" w:name="_BPDC_LN_INS_1169"/>
      <w:bookmarkStart w:id="62" w:name="_BPDC_PR_INS_1170"/>
      <w:bookmarkStart w:id="63" w:name="_BPDC_LN_INS_1167"/>
      <w:bookmarkStart w:id="64" w:name="_BPDC_PR_INS_1168"/>
      <w:bookmarkStart w:id="65" w:name="_BPDC_LN_INS_1165"/>
      <w:bookmarkStart w:id="66" w:name="_BPDC_PR_INS_1166"/>
      <w:bookmarkStart w:id="67" w:name="_BPDC_LN_INS_1163"/>
      <w:bookmarkStart w:id="68" w:name="_BPDC_PR_INS_1164"/>
      <w:bookmarkStart w:id="69" w:name="_BPDC_LN_INS_1161"/>
      <w:bookmarkStart w:id="70" w:name="_BPDC_PR_INS_1162"/>
      <w:bookmarkStart w:id="71" w:name="_BPDC_LN_INS_1159"/>
      <w:bookmarkStart w:id="72" w:name="_BPDC_PR_INS_1160"/>
      <w:bookmarkStart w:id="73" w:name="_BPDC_LN_INS_1157"/>
      <w:bookmarkStart w:id="74" w:name="_BPDC_PR_INS_1158"/>
      <w:bookmarkStart w:id="75" w:name="_BPDC_LN_INS_1155"/>
      <w:bookmarkStart w:id="76" w:name="_BPDC_PR_INS_1156"/>
      <w:bookmarkStart w:id="77" w:name="_BPDC_LN_INS_1153"/>
      <w:bookmarkStart w:id="78" w:name="_BPDC_PR_INS_1154"/>
      <w:bookmarkStart w:id="79" w:name="_Ref46998735"/>
      <w:bookmarkStart w:id="80" w:name="SecD"/>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9A3EA6">
        <w:rPr>
          <w:rFonts w:eastAsia="Calibri"/>
          <w:b/>
          <w:u w:val="single"/>
        </w:rPr>
        <w:t>MINIMUM REQUIREMENTS</w:t>
      </w:r>
      <w:bookmarkEnd w:id="79"/>
    </w:p>
    <w:bookmarkEnd w:id="80"/>
    <w:p w14:paraId="78E0086B"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Epic EMR Experience (Critical Workload Expertise): Documented experience and customer references for at least three (3) successful production migrations and managed services engagements on Azure.</w:t>
      </w:r>
    </w:p>
    <w:p w14:paraId="3C2232F6"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Service Model: An onshore model that provides 24/7/365 L1-L3 coverage for continuous monitoring and incident response.</w:t>
      </w:r>
    </w:p>
    <w:p w14:paraId="2DA0DC51"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Service Integration and Support Access: Vendors must confirm they currently possess and utilize a high-level Microsoft support plan (e.g., Azure Professional Direct Support or equivalent) and clearly define the escalation path to Microsoft’s engineering teams for issues the MSP cannot resolve (L3/L4 support). This must include evidence of a dedicated Service Delivery Manager or Technical Account Manager.</w:t>
      </w:r>
    </w:p>
    <w:p w14:paraId="3707567E"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Staffing Skill and Certification Requirements: The Vendor must describe the qualifications of all L1, L2, and L3 resources assigned to JPS Health. The response must include:</w:t>
      </w:r>
    </w:p>
    <w:p w14:paraId="7EABE22C"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Minimum experience levels for cloud engineers, SRE resources, database administrators, and engineers supporting Epic on Azure.</w:t>
      </w:r>
    </w:p>
    <w:p w14:paraId="0F21B9B1"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Required certifications for each role type, including Azure Administrator, Azure Solutions Architect, Azure Security Engineer, and other relevant technical certifications.</w:t>
      </w:r>
    </w:p>
    <w:p w14:paraId="6B53BDEB"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Whether assigned personnel are dedicated or shared across clients. If shared, the Vendor must state the maximum engineer-to-client ratio.</w:t>
      </w:r>
    </w:p>
    <w:p w14:paraId="3B305236" w14:textId="77777777" w:rsidR="008F2181"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A staffing continuity plan to maintain consistent service quality and limit the operational impact of turnover.</w:t>
      </w:r>
    </w:p>
    <w:p w14:paraId="3D55A051" w14:textId="3CCA6277" w:rsidR="00681B46" w:rsidRDefault="00681B46" w:rsidP="008F2181">
      <w:pPr>
        <w:pStyle w:val="ListParagraph"/>
        <w:numPr>
          <w:ilvl w:val="4"/>
          <w:numId w:val="4"/>
        </w:numPr>
        <w:spacing w:line="256" w:lineRule="auto"/>
        <w:rPr>
          <w:rFonts w:ascii="Calibri Light" w:hAnsi="Calibri Light" w:cs="Calibri Light"/>
        </w:rPr>
      </w:pPr>
      <w:r w:rsidRPr="008F2181">
        <w:rPr>
          <w:rFonts w:ascii="Calibri Light" w:hAnsi="Calibri Light" w:cs="Calibri Light"/>
        </w:rPr>
        <w:t>Audit and Evidence Support: Describe your process and tools for providing unfiltered, auditable evidence of compliance controls (e.g., log reviews, patch status reports, access control lists) to JPS’s security and compliance teams within 48 hours of an audit request (e.g., for HIPAA Title II compliance reviews).</w:t>
      </w:r>
    </w:p>
    <w:p w14:paraId="60ACACAA" w14:textId="5CF4FB3A" w:rsidR="00EB6A57" w:rsidRDefault="00EB6A57">
      <w:pPr>
        <w:spacing w:after="160" w:line="259" w:lineRule="auto"/>
        <w:rPr>
          <w:rFonts w:ascii="Calibri Light" w:hAnsi="Calibri Light" w:cs="Calibri Light"/>
        </w:rPr>
      </w:pPr>
      <w:r>
        <w:rPr>
          <w:rFonts w:ascii="Calibri Light" w:hAnsi="Calibri Light" w:cs="Calibri Light"/>
        </w:rPr>
        <w:br w:type="page"/>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1" w:name="SecE"/>
      <w:bookmarkStart w:id="82" w:name="_Ref55198810"/>
      <w:bookmarkStart w:id="83" w:name="_Ref62571440"/>
      <w:r>
        <w:rPr>
          <w:b/>
          <w:u w:val="single"/>
        </w:rPr>
        <w:lastRenderedPageBreak/>
        <w:t>REQUIRED INFORMATION</w:t>
      </w:r>
    </w:p>
    <w:bookmarkEnd w:id="81"/>
    <w:p w14:paraId="5D378FCB" w14:textId="2F86CA2E" w:rsidR="00681B46" w:rsidRPr="00EB6A57" w:rsidRDefault="00681B46" w:rsidP="00EB6A57">
      <w:pPr>
        <w:pStyle w:val="ListParagraph"/>
        <w:numPr>
          <w:ilvl w:val="2"/>
          <w:numId w:val="4"/>
        </w:numPr>
        <w:spacing w:before="220" w:after="220"/>
        <w:jc w:val="both"/>
        <w:rPr>
          <w:b/>
          <w:bCs/>
        </w:rPr>
      </w:pPr>
      <w:r w:rsidRPr="00EB6A57">
        <w:rPr>
          <w:b/>
          <w:bCs/>
        </w:rPr>
        <w:t>Key Performance Specifications (KPIs) for Epic and Non-Epic Applications Hosting</w:t>
      </w:r>
    </w:p>
    <w:p w14:paraId="37943657" w14:textId="77777777" w:rsidR="00681B46" w:rsidRPr="00EB6A57" w:rsidRDefault="00681B46" w:rsidP="00681B46">
      <w:pPr>
        <w:spacing w:before="220" w:after="220"/>
        <w:jc w:val="both"/>
        <w:rPr>
          <w:bCs/>
        </w:rPr>
      </w:pPr>
      <w:r w:rsidRPr="00EB6A57">
        <w:rPr>
          <w:bCs/>
        </w:rPr>
        <w:t>The MSP must guarantee and commit to a robust Service Level Agreement (SLA) structure that aligns with or exceeds the following performance standards, which are critical for the Epic EMR systems.</w:t>
      </w:r>
    </w:p>
    <w:p w14:paraId="4BF5680B" w14:textId="77777777" w:rsidR="00681B46" w:rsidRPr="00EB6A57" w:rsidRDefault="00681B46" w:rsidP="00681B46">
      <w:pPr>
        <w:spacing w:before="220" w:after="220"/>
        <w:jc w:val="both"/>
        <w:rPr>
          <w:bCs/>
        </w:rPr>
      </w:pPr>
    </w:p>
    <w:tbl>
      <w:tblPr>
        <w:tblStyle w:val="TableGrid"/>
        <w:tblW w:w="9985" w:type="dxa"/>
        <w:tblLook w:val="04A0" w:firstRow="1" w:lastRow="0" w:firstColumn="1" w:lastColumn="0" w:noHBand="0" w:noVBand="1"/>
      </w:tblPr>
      <w:tblGrid>
        <w:gridCol w:w="1505"/>
        <w:gridCol w:w="1356"/>
        <w:gridCol w:w="1690"/>
        <w:gridCol w:w="1463"/>
        <w:gridCol w:w="1721"/>
        <w:gridCol w:w="2250"/>
      </w:tblGrid>
      <w:tr w:rsidR="00681B46" w:rsidRPr="00EB6A57" w14:paraId="55594619"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20A54FEE" w14:textId="77777777" w:rsidR="00681B46" w:rsidRPr="00EB6A57" w:rsidRDefault="00681B46" w:rsidP="00EB6A57">
            <w:pPr>
              <w:spacing w:before="220" w:after="220"/>
              <w:rPr>
                <w:b/>
                <w:bCs/>
                <w:sz w:val="20"/>
                <w:szCs w:val="18"/>
              </w:rPr>
            </w:pPr>
            <w:r w:rsidRPr="00EB6A57">
              <w:rPr>
                <w:b/>
                <w:bCs/>
                <w:sz w:val="20"/>
                <w:szCs w:val="18"/>
              </w:rPr>
              <w:t>Service Level Category</w:t>
            </w:r>
          </w:p>
        </w:tc>
        <w:tc>
          <w:tcPr>
            <w:tcW w:w="1356" w:type="dxa"/>
            <w:tcBorders>
              <w:top w:val="single" w:sz="4" w:space="0" w:color="auto"/>
              <w:left w:val="single" w:sz="4" w:space="0" w:color="auto"/>
              <w:bottom w:val="single" w:sz="4" w:space="0" w:color="auto"/>
              <w:right w:val="single" w:sz="4" w:space="0" w:color="auto"/>
            </w:tcBorders>
            <w:hideMark/>
          </w:tcPr>
          <w:p w14:paraId="00F82073" w14:textId="77777777" w:rsidR="00681B46" w:rsidRPr="00EB6A57" w:rsidRDefault="00681B46" w:rsidP="00EB6A57">
            <w:pPr>
              <w:spacing w:before="220" w:after="220"/>
              <w:rPr>
                <w:b/>
                <w:bCs/>
                <w:sz w:val="20"/>
                <w:szCs w:val="18"/>
              </w:rPr>
            </w:pPr>
            <w:r w:rsidRPr="00EB6A57">
              <w:rPr>
                <w:b/>
                <w:bCs/>
                <w:sz w:val="20"/>
                <w:szCs w:val="18"/>
              </w:rPr>
              <w:t>KPI / Metric</w:t>
            </w:r>
          </w:p>
        </w:tc>
        <w:tc>
          <w:tcPr>
            <w:tcW w:w="1690" w:type="dxa"/>
            <w:tcBorders>
              <w:top w:val="single" w:sz="4" w:space="0" w:color="auto"/>
              <w:left w:val="single" w:sz="4" w:space="0" w:color="auto"/>
              <w:bottom w:val="single" w:sz="4" w:space="0" w:color="auto"/>
              <w:right w:val="single" w:sz="4" w:space="0" w:color="auto"/>
            </w:tcBorders>
            <w:hideMark/>
          </w:tcPr>
          <w:p w14:paraId="4A019E17" w14:textId="77777777" w:rsidR="00681B46" w:rsidRPr="00EB6A57" w:rsidRDefault="00681B46" w:rsidP="00EB6A57">
            <w:pPr>
              <w:spacing w:before="220" w:after="220"/>
              <w:rPr>
                <w:b/>
                <w:bCs/>
                <w:sz w:val="20"/>
                <w:szCs w:val="18"/>
              </w:rPr>
            </w:pPr>
            <w:r w:rsidRPr="00EB6A57">
              <w:rPr>
                <w:b/>
                <w:bCs/>
                <w:sz w:val="20"/>
                <w:szCs w:val="18"/>
              </w:rPr>
              <w:t>Epic Environment Target / Specification</w:t>
            </w:r>
          </w:p>
        </w:tc>
        <w:tc>
          <w:tcPr>
            <w:tcW w:w="1463" w:type="dxa"/>
            <w:tcBorders>
              <w:top w:val="single" w:sz="4" w:space="0" w:color="auto"/>
              <w:left w:val="single" w:sz="4" w:space="0" w:color="auto"/>
              <w:bottom w:val="single" w:sz="4" w:space="0" w:color="auto"/>
              <w:right w:val="single" w:sz="4" w:space="0" w:color="auto"/>
            </w:tcBorders>
            <w:hideMark/>
          </w:tcPr>
          <w:p w14:paraId="3B1AA8AE" w14:textId="77777777" w:rsidR="00681B46" w:rsidRPr="00EB6A57" w:rsidRDefault="00681B46" w:rsidP="00EB6A57">
            <w:pPr>
              <w:spacing w:before="220" w:after="220"/>
              <w:rPr>
                <w:b/>
                <w:bCs/>
                <w:sz w:val="20"/>
                <w:szCs w:val="18"/>
              </w:rPr>
            </w:pPr>
            <w:r w:rsidRPr="00EB6A57">
              <w:rPr>
                <w:b/>
                <w:bCs/>
                <w:sz w:val="20"/>
                <w:szCs w:val="18"/>
              </w:rPr>
              <w:t>Non-Epic Environment Minimum Target</w:t>
            </w:r>
          </w:p>
        </w:tc>
        <w:tc>
          <w:tcPr>
            <w:tcW w:w="1721" w:type="dxa"/>
            <w:tcBorders>
              <w:top w:val="single" w:sz="4" w:space="0" w:color="auto"/>
              <w:left w:val="single" w:sz="4" w:space="0" w:color="auto"/>
              <w:bottom w:val="single" w:sz="4" w:space="0" w:color="auto"/>
              <w:right w:val="single" w:sz="4" w:space="0" w:color="auto"/>
            </w:tcBorders>
            <w:hideMark/>
          </w:tcPr>
          <w:p w14:paraId="08C5F5BA" w14:textId="77777777" w:rsidR="00681B46" w:rsidRPr="00EB6A57" w:rsidRDefault="00681B46" w:rsidP="00EB6A57">
            <w:pPr>
              <w:spacing w:before="220" w:after="220"/>
              <w:rPr>
                <w:b/>
                <w:bCs/>
                <w:sz w:val="20"/>
                <w:szCs w:val="18"/>
              </w:rPr>
            </w:pPr>
            <w:r w:rsidRPr="00EB6A57">
              <w:rPr>
                <w:b/>
                <w:bCs/>
                <w:sz w:val="20"/>
                <w:szCs w:val="18"/>
              </w:rPr>
              <w:t>Non-Epic Environment Desired Target</w:t>
            </w:r>
          </w:p>
        </w:tc>
        <w:tc>
          <w:tcPr>
            <w:tcW w:w="2250" w:type="dxa"/>
            <w:tcBorders>
              <w:top w:val="single" w:sz="4" w:space="0" w:color="auto"/>
              <w:left w:val="single" w:sz="4" w:space="0" w:color="auto"/>
              <w:bottom w:val="single" w:sz="4" w:space="0" w:color="auto"/>
              <w:right w:val="single" w:sz="4" w:space="0" w:color="auto"/>
            </w:tcBorders>
            <w:hideMark/>
          </w:tcPr>
          <w:p w14:paraId="2D70A43B" w14:textId="77777777" w:rsidR="00681B46" w:rsidRPr="00EB6A57" w:rsidRDefault="00681B46" w:rsidP="00EB6A57">
            <w:pPr>
              <w:spacing w:before="220" w:after="220"/>
              <w:rPr>
                <w:b/>
                <w:bCs/>
                <w:sz w:val="20"/>
                <w:szCs w:val="18"/>
              </w:rPr>
            </w:pPr>
            <w:r w:rsidRPr="00EB6A57">
              <w:rPr>
                <w:b/>
                <w:bCs/>
                <w:sz w:val="20"/>
                <w:szCs w:val="18"/>
              </w:rPr>
              <w:t>Notes / Measurement Mechanism</w:t>
            </w:r>
          </w:p>
        </w:tc>
      </w:tr>
      <w:tr w:rsidR="00681B46" w:rsidRPr="00EB6A57" w14:paraId="08F6453A"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5CE2FEAD" w14:textId="77777777" w:rsidR="00681B46" w:rsidRPr="00EB6A57" w:rsidRDefault="00681B46" w:rsidP="00EB6A57">
            <w:pPr>
              <w:spacing w:before="220" w:after="220"/>
              <w:rPr>
                <w:bCs/>
                <w:sz w:val="20"/>
                <w:szCs w:val="18"/>
              </w:rPr>
            </w:pPr>
            <w:r w:rsidRPr="00EB6A57">
              <w:rPr>
                <w:bCs/>
                <w:sz w:val="20"/>
                <w:szCs w:val="18"/>
              </w:rPr>
              <w:t>Availability / Uptime</w:t>
            </w:r>
          </w:p>
        </w:tc>
        <w:tc>
          <w:tcPr>
            <w:tcW w:w="1356" w:type="dxa"/>
            <w:tcBorders>
              <w:top w:val="single" w:sz="4" w:space="0" w:color="auto"/>
              <w:left w:val="single" w:sz="4" w:space="0" w:color="auto"/>
              <w:bottom w:val="single" w:sz="4" w:space="0" w:color="auto"/>
              <w:right w:val="single" w:sz="4" w:space="0" w:color="auto"/>
            </w:tcBorders>
            <w:hideMark/>
          </w:tcPr>
          <w:p w14:paraId="0B512BA3" w14:textId="77777777" w:rsidR="00681B46" w:rsidRPr="00EB6A57" w:rsidRDefault="00681B46" w:rsidP="00EB6A57">
            <w:pPr>
              <w:spacing w:before="220" w:after="220"/>
              <w:rPr>
                <w:bCs/>
                <w:sz w:val="20"/>
                <w:szCs w:val="18"/>
              </w:rPr>
            </w:pPr>
            <w:r w:rsidRPr="00EB6A57">
              <w:rPr>
                <w:bCs/>
                <w:sz w:val="20"/>
                <w:szCs w:val="18"/>
              </w:rPr>
              <w:t>Production Uptime / Service Availability</w:t>
            </w:r>
          </w:p>
        </w:tc>
        <w:tc>
          <w:tcPr>
            <w:tcW w:w="1690" w:type="dxa"/>
            <w:tcBorders>
              <w:top w:val="single" w:sz="4" w:space="0" w:color="auto"/>
              <w:left w:val="single" w:sz="4" w:space="0" w:color="auto"/>
              <w:bottom w:val="single" w:sz="4" w:space="0" w:color="auto"/>
              <w:right w:val="single" w:sz="4" w:space="0" w:color="auto"/>
            </w:tcBorders>
            <w:hideMark/>
          </w:tcPr>
          <w:p w14:paraId="4403B833" w14:textId="77777777" w:rsidR="00681B46" w:rsidRPr="00EB6A57" w:rsidRDefault="00681B46" w:rsidP="00EB6A57">
            <w:pPr>
              <w:spacing w:before="220" w:after="220"/>
              <w:rPr>
                <w:bCs/>
                <w:sz w:val="20"/>
                <w:szCs w:val="18"/>
              </w:rPr>
            </w:pPr>
            <w:r w:rsidRPr="00EB6A57">
              <w:rPr>
                <w:bCs/>
                <w:sz w:val="20"/>
                <w:szCs w:val="18"/>
              </w:rPr>
              <w:t>99.95% ("Five Nines") or better (excluding pre-approved maintenance).</w:t>
            </w:r>
          </w:p>
        </w:tc>
        <w:tc>
          <w:tcPr>
            <w:tcW w:w="1463" w:type="dxa"/>
            <w:tcBorders>
              <w:top w:val="single" w:sz="4" w:space="0" w:color="auto"/>
              <w:left w:val="single" w:sz="4" w:space="0" w:color="auto"/>
              <w:bottom w:val="single" w:sz="4" w:space="0" w:color="auto"/>
              <w:right w:val="single" w:sz="4" w:space="0" w:color="auto"/>
            </w:tcBorders>
            <w:hideMark/>
          </w:tcPr>
          <w:p w14:paraId="5DBE47E7" w14:textId="77777777" w:rsidR="00681B46" w:rsidRPr="00EB6A57" w:rsidRDefault="00681B46" w:rsidP="00EB6A57">
            <w:pPr>
              <w:spacing w:before="220" w:after="220"/>
              <w:rPr>
                <w:bCs/>
                <w:sz w:val="20"/>
                <w:szCs w:val="18"/>
              </w:rPr>
            </w:pPr>
            <w:r w:rsidRPr="00EB6A57">
              <w:rPr>
                <w:bCs/>
                <w:sz w:val="20"/>
                <w:szCs w:val="18"/>
              </w:rPr>
              <w:t>99.90%</w:t>
            </w:r>
          </w:p>
        </w:tc>
        <w:tc>
          <w:tcPr>
            <w:tcW w:w="1721" w:type="dxa"/>
            <w:tcBorders>
              <w:top w:val="single" w:sz="4" w:space="0" w:color="auto"/>
              <w:left w:val="single" w:sz="4" w:space="0" w:color="auto"/>
              <w:bottom w:val="single" w:sz="4" w:space="0" w:color="auto"/>
              <w:right w:val="single" w:sz="4" w:space="0" w:color="auto"/>
            </w:tcBorders>
            <w:hideMark/>
          </w:tcPr>
          <w:p w14:paraId="67D95EC7" w14:textId="77777777" w:rsidR="00681B46" w:rsidRPr="00EB6A57" w:rsidRDefault="00681B46" w:rsidP="00EB6A57">
            <w:pPr>
              <w:spacing w:before="220" w:after="220"/>
              <w:rPr>
                <w:bCs/>
                <w:sz w:val="20"/>
                <w:szCs w:val="18"/>
              </w:rPr>
            </w:pPr>
            <w:r w:rsidRPr="00EB6A57">
              <w:rPr>
                <w:bCs/>
                <w:sz w:val="20"/>
                <w:szCs w:val="18"/>
              </w:rPr>
              <w:t>99.95</w:t>
            </w:r>
          </w:p>
          <w:p w14:paraId="1915EDC9" w14:textId="77777777" w:rsidR="00681B46" w:rsidRPr="00EB6A57" w:rsidRDefault="00681B46" w:rsidP="00EB6A57">
            <w:pPr>
              <w:spacing w:before="220" w:after="220"/>
              <w:rPr>
                <w:bCs/>
                <w:sz w:val="20"/>
                <w:szCs w:val="18"/>
              </w:rPr>
            </w:pPr>
            <w:r w:rsidRPr="00EB6A57">
              <w:rPr>
                <w:bCs/>
                <w:sz w:val="20"/>
                <w:szCs w:val="18"/>
              </w:rPr>
              <w:t>%</w:t>
            </w:r>
          </w:p>
        </w:tc>
        <w:tc>
          <w:tcPr>
            <w:tcW w:w="2250" w:type="dxa"/>
            <w:tcBorders>
              <w:top w:val="single" w:sz="4" w:space="0" w:color="auto"/>
              <w:left w:val="single" w:sz="4" w:space="0" w:color="auto"/>
              <w:bottom w:val="single" w:sz="4" w:space="0" w:color="auto"/>
              <w:right w:val="single" w:sz="4" w:space="0" w:color="auto"/>
            </w:tcBorders>
            <w:hideMark/>
          </w:tcPr>
          <w:p w14:paraId="794FE44D" w14:textId="77777777" w:rsidR="00681B46" w:rsidRPr="00EB6A57" w:rsidRDefault="00681B46" w:rsidP="00EB6A57">
            <w:pPr>
              <w:spacing w:before="220" w:after="220"/>
              <w:rPr>
                <w:bCs/>
                <w:sz w:val="20"/>
                <w:szCs w:val="18"/>
              </w:rPr>
            </w:pPr>
            <w:r w:rsidRPr="00EB6A57">
              <w:rPr>
                <w:bCs/>
                <w:sz w:val="20"/>
                <w:szCs w:val="18"/>
              </w:rPr>
              <w:t>Epic: Proactive monitoring and incident response. Non-Epic: Monthly, total minutes minus downtime minutes.</w:t>
            </w:r>
          </w:p>
        </w:tc>
      </w:tr>
      <w:tr w:rsidR="00681B46" w:rsidRPr="00EB6A57" w14:paraId="4C0959F4"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6ACA813C" w14:textId="77777777" w:rsidR="00681B46" w:rsidRPr="00EB6A57" w:rsidRDefault="00681B46" w:rsidP="00EB6A57">
            <w:pPr>
              <w:spacing w:before="220" w:after="220"/>
              <w:rPr>
                <w:bCs/>
                <w:sz w:val="20"/>
                <w:szCs w:val="18"/>
              </w:rPr>
            </w:pPr>
            <w:r w:rsidRPr="00EB6A57">
              <w:rPr>
                <w:bCs/>
                <w:sz w:val="20"/>
                <w:szCs w:val="18"/>
              </w:rPr>
              <w:t>System Performance</w:t>
            </w:r>
          </w:p>
        </w:tc>
        <w:tc>
          <w:tcPr>
            <w:tcW w:w="1356" w:type="dxa"/>
            <w:tcBorders>
              <w:top w:val="single" w:sz="4" w:space="0" w:color="auto"/>
              <w:left w:val="single" w:sz="4" w:space="0" w:color="auto"/>
              <w:bottom w:val="single" w:sz="4" w:space="0" w:color="auto"/>
              <w:right w:val="single" w:sz="4" w:space="0" w:color="auto"/>
            </w:tcBorders>
            <w:hideMark/>
          </w:tcPr>
          <w:p w14:paraId="75CCB95A" w14:textId="77777777" w:rsidR="00681B46" w:rsidRPr="00EB6A57" w:rsidRDefault="00681B46" w:rsidP="00EB6A57">
            <w:pPr>
              <w:spacing w:before="220" w:after="220"/>
              <w:rPr>
                <w:bCs/>
                <w:sz w:val="20"/>
                <w:szCs w:val="18"/>
              </w:rPr>
            </w:pPr>
            <w:r w:rsidRPr="00EB6A57">
              <w:rPr>
                <w:bCs/>
                <w:sz w:val="20"/>
                <w:szCs w:val="18"/>
              </w:rPr>
              <w:t>Global References Per Second (</w:t>
            </w:r>
            <w:proofErr w:type="spellStart"/>
            <w:r w:rsidRPr="00EB6A57">
              <w:rPr>
                <w:bCs/>
                <w:sz w:val="20"/>
                <w:szCs w:val="18"/>
              </w:rPr>
              <w:t>GRefs</w:t>
            </w:r>
            <w:proofErr w:type="spellEnd"/>
            <w:r w:rsidRPr="00EB6A57">
              <w:rPr>
                <w:bCs/>
                <w:sz w:val="20"/>
                <w:szCs w:val="18"/>
              </w:rPr>
              <w:t>/s) Scalability</w:t>
            </w:r>
          </w:p>
        </w:tc>
        <w:tc>
          <w:tcPr>
            <w:tcW w:w="1690" w:type="dxa"/>
            <w:tcBorders>
              <w:top w:val="single" w:sz="4" w:space="0" w:color="auto"/>
              <w:left w:val="single" w:sz="4" w:space="0" w:color="auto"/>
              <w:bottom w:val="single" w:sz="4" w:space="0" w:color="auto"/>
              <w:right w:val="single" w:sz="4" w:space="0" w:color="auto"/>
            </w:tcBorders>
            <w:hideMark/>
          </w:tcPr>
          <w:p w14:paraId="49EFBAE4" w14:textId="77777777" w:rsidR="00681B46" w:rsidRPr="00EB6A57" w:rsidRDefault="00681B46" w:rsidP="00EB6A57">
            <w:pPr>
              <w:spacing w:before="220" w:after="220"/>
              <w:rPr>
                <w:bCs/>
                <w:sz w:val="20"/>
                <w:szCs w:val="18"/>
              </w:rPr>
            </w:pPr>
            <w:r w:rsidRPr="00EB6A57">
              <w:rPr>
                <w:bCs/>
                <w:sz w:val="20"/>
                <w:szCs w:val="18"/>
              </w:rPr>
              <w:t xml:space="preserve">Commit to capacity ≥ max supported </w:t>
            </w:r>
            <w:proofErr w:type="spellStart"/>
            <w:r w:rsidRPr="00EB6A57">
              <w:rPr>
                <w:bCs/>
                <w:sz w:val="20"/>
                <w:szCs w:val="18"/>
              </w:rPr>
              <w:t>GRefs</w:t>
            </w:r>
            <w:proofErr w:type="spellEnd"/>
            <w:r w:rsidRPr="00EB6A57">
              <w:rPr>
                <w:bCs/>
                <w:sz w:val="20"/>
                <w:szCs w:val="18"/>
              </w:rPr>
              <w:t xml:space="preserve">/s for load (e.g., Target &gt;110 million </w:t>
            </w:r>
            <w:proofErr w:type="spellStart"/>
            <w:r w:rsidRPr="00EB6A57">
              <w:rPr>
                <w:bCs/>
                <w:sz w:val="20"/>
                <w:szCs w:val="18"/>
              </w:rPr>
              <w:t>GRefs</w:t>
            </w:r>
            <w:proofErr w:type="spellEnd"/>
            <w:r w:rsidRPr="00EB6A57">
              <w:rPr>
                <w:bCs/>
                <w:sz w:val="20"/>
                <w:szCs w:val="18"/>
              </w:rPr>
              <w:t>/s for ECP).</w:t>
            </w:r>
          </w:p>
        </w:tc>
        <w:tc>
          <w:tcPr>
            <w:tcW w:w="1463" w:type="dxa"/>
            <w:tcBorders>
              <w:top w:val="single" w:sz="4" w:space="0" w:color="auto"/>
              <w:left w:val="single" w:sz="4" w:space="0" w:color="auto"/>
              <w:bottom w:val="single" w:sz="4" w:space="0" w:color="auto"/>
              <w:right w:val="single" w:sz="4" w:space="0" w:color="auto"/>
            </w:tcBorders>
            <w:hideMark/>
          </w:tcPr>
          <w:p w14:paraId="0CE186C9"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42FC8B36"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6D756750" w14:textId="77777777" w:rsidR="00681B46" w:rsidRPr="00EB6A57" w:rsidRDefault="00681B46" w:rsidP="00EB6A57">
            <w:pPr>
              <w:spacing w:before="220" w:after="220"/>
              <w:rPr>
                <w:bCs/>
                <w:sz w:val="20"/>
                <w:szCs w:val="18"/>
              </w:rPr>
            </w:pPr>
            <w:r w:rsidRPr="00EB6A57">
              <w:rPr>
                <w:bCs/>
                <w:sz w:val="20"/>
                <w:szCs w:val="18"/>
              </w:rPr>
              <w:t>Mandatory use of Epic-certified Azure Mv3 series VMs.</w:t>
            </w:r>
          </w:p>
        </w:tc>
      </w:tr>
      <w:tr w:rsidR="00681B46" w:rsidRPr="00EB6A57" w14:paraId="0330B2AD"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1DCCC314" w14:textId="77777777" w:rsidR="00681B46" w:rsidRPr="00EB6A57" w:rsidRDefault="00681B46" w:rsidP="00EB6A57">
            <w:pPr>
              <w:spacing w:before="220" w:after="220"/>
              <w:rPr>
                <w:bCs/>
                <w:sz w:val="20"/>
                <w:szCs w:val="18"/>
              </w:rPr>
            </w:pPr>
            <w:r w:rsidRPr="00EB6A57">
              <w:rPr>
                <w:bCs/>
                <w:sz w:val="20"/>
                <w:szCs w:val="18"/>
              </w:rPr>
              <w:t>Storage Performance</w:t>
            </w:r>
          </w:p>
        </w:tc>
        <w:tc>
          <w:tcPr>
            <w:tcW w:w="1356" w:type="dxa"/>
            <w:tcBorders>
              <w:top w:val="single" w:sz="4" w:space="0" w:color="auto"/>
              <w:left w:val="single" w:sz="4" w:space="0" w:color="auto"/>
              <w:bottom w:val="single" w:sz="4" w:space="0" w:color="auto"/>
              <w:right w:val="single" w:sz="4" w:space="0" w:color="auto"/>
            </w:tcBorders>
            <w:hideMark/>
          </w:tcPr>
          <w:p w14:paraId="53649D26" w14:textId="77777777" w:rsidR="00681B46" w:rsidRPr="00EB6A57" w:rsidRDefault="00681B46" w:rsidP="00EB6A57">
            <w:pPr>
              <w:spacing w:before="220" w:after="220"/>
              <w:rPr>
                <w:bCs/>
                <w:sz w:val="20"/>
                <w:szCs w:val="18"/>
              </w:rPr>
            </w:pPr>
            <w:r w:rsidRPr="00EB6A57">
              <w:rPr>
                <w:bCs/>
                <w:sz w:val="20"/>
                <w:szCs w:val="18"/>
              </w:rPr>
              <w:t>IOPS and Bandwidth for ODB</w:t>
            </w:r>
          </w:p>
        </w:tc>
        <w:tc>
          <w:tcPr>
            <w:tcW w:w="1690" w:type="dxa"/>
            <w:tcBorders>
              <w:top w:val="single" w:sz="4" w:space="0" w:color="auto"/>
              <w:left w:val="single" w:sz="4" w:space="0" w:color="auto"/>
              <w:bottom w:val="single" w:sz="4" w:space="0" w:color="auto"/>
              <w:right w:val="single" w:sz="4" w:space="0" w:color="auto"/>
            </w:tcBorders>
            <w:hideMark/>
          </w:tcPr>
          <w:p w14:paraId="55ED8E33" w14:textId="77777777" w:rsidR="00681B46" w:rsidRPr="00EB6A57" w:rsidRDefault="00681B46" w:rsidP="00EB6A57">
            <w:pPr>
              <w:spacing w:before="220" w:after="220"/>
              <w:rPr>
                <w:bCs/>
                <w:sz w:val="20"/>
                <w:szCs w:val="18"/>
              </w:rPr>
            </w:pPr>
            <w:r w:rsidRPr="00EB6A57">
              <w:rPr>
                <w:bCs/>
                <w:sz w:val="20"/>
                <w:szCs w:val="18"/>
              </w:rPr>
              <w:t xml:space="preserve">Achieve and maintain 550,000+ IOPS and 10 </w:t>
            </w:r>
            <w:proofErr w:type="spellStart"/>
            <w:r w:rsidRPr="00EB6A57">
              <w:rPr>
                <w:bCs/>
                <w:sz w:val="20"/>
                <w:szCs w:val="18"/>
              </w:rPr>
              <w:t>GBps</w:t>
            </w:r>
            <w:proofErr w:type="spellEnd"/>
            <w:r w:rsidRPr="00EB6A57">
              <w:rPr>
                <w:bCs/>
                <w:sz w:val="20"/>
                <w:szCs w:val="18"/>
              </w:rPr>
              <w:t xml:space="preserve"> remote disk bandwidth.</w:t>
            </w:r>
          </w:p>
        </w:tc>
        <w:tc>
          <w:tcPr>
            <w:tcW w:w="1463" w:type="dxa"/>
            <w:tcBorders>
              <w:top w:val="single" w:sz="4" w:space="0" w:color="auto"/>
              <w:left w:val="single" w:sz="4" w:space="0" w:color="auto"/>
              <w:bottom w:val="single" w:sz="4" w:space="0" w:color="auto"/>
              <w:right w:val="single" w:sz="4" w:space="0" w:color="auto"/>
            </w:tcBorders>
            <w:hideMark/>
          </w:tcPr>
          <w:p w14:paraId="15751ABD"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488F80D4"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444E1963" w14:textId="77777777" w:rsidR="00681B46" w:rsidRPr="00EB6A57" w:rsidRDefault="00681B46" w:rsidP="00EB6A57">
            <w:pPr>
              <w:spacing w:before="220" w:after="220"/>
              <w:rPr>
                <w:bCs/>
                <w:sz w:val="20"/>
                <w:szCs w:val="18"/>
              </w:rPr>
            </w:pPr>
            <w:r w:rsidRPr="00EB6A57">
              <w:rPr>
                <w:bCs/>
                <w:sz w:val="20"/>
                <w:szCs w:val="18"/>
              </w:rPr>
              <w:t>Mandatory use of Azure Ultra Disk storage.</w:t>
            </w:r>
          </w:p>
        </w:tc>
      </w:tr>
      <w:tr w:rsidR="00681B46" w:rsidRPr="00EB6A57" w14:paraId="10090367"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7E4343CD" w14:textId="77777777" w:rsidR="00681B46" w:rsidRPr="00EB6A57" w:rsidRDefault="00681B46" w:rsidP="00EB6A57">
            <w:pPr>
              <w:spacing w:before="220" w:after="220"/>
              <w:rPr>
                <w:bCs/>
                <w:sz w:val="20"/>
                <w:szCs w:val="18"/>
              </w:rPr>
            </w:pPr>
            <w:r w:rsidRPr="00EB6A57">
              <w:rPr>
                <w:bCs/>
                <w:sz w:val="20"/>
                <w:szCs w:val="18"/>
              </w:rPr>
              <w:t>General Performance</w:t>
            </w:r>
          </w:p>
        </w:tc>
        <w:tc>
          <w:tcPr>
            <w:tcW w:w="1356" w:type="dxa"/>
            <w:tcBorders>
              <w:top w:val="single" w:sz="4" w:space="0" w:color="auto"/>
              <w:left w:val="single" w:sz="4" w:space="0" w:color="auto"/>
              <w:bottom w:val="single" w:sz="4" w:space="0" w:color="auto"/>
              <w:right w:val="single" w:sz="4" w:space="0" w:color="auto"/>
            </w:tcBorders>
            <w:hideMark/>
          </w:tcPr>
          <w:p w14:paraId="758D0F13" w14:textId="77777777" w:rsidR="00681B46" w:rsidRPr="00EB6A57" w:rsidRDefault="00681B46" w:rsidP="00EB6A57">
            <w:pPr>
              <w:spacing w:before="220" w:after="220"/>
              <w:rPr>
                <w:bCs/>
                <w:sz w:val="20"/>
                <w:szCs w:val="18"/>
              </w:rPr>
            </w:pPr>
            <w:r w:rsidRPr="00EB6A57">
              <w:rPr>
                <w:bCs/>
                <w:sz w:val="20"/>
                <w:szCs w:val="18"/>
              </w:rPr>
              <w:t>Service Performance</w:t>
            </w:r>
          </w:p>
        </w:tc>
        <w:tc>
          <w:tcPr>
            <w:tcW w:w="1690" w:type="dxa"/>
            <w:tcBorders>
              <w:top w:val="single" w:sz="4" w:space="0" w:color="auto"/>
              <w:left w:val="single" w:sz="4" w:space="0" w:color="auto"/>
              <w:bottom w:val="single" w:sz="4" w:space="0" w:color="auto"/>
              <w:right w:val="single" w:sz="4" w:space="0" w:color="auto"/>
            </w:tcBorders>
            <w:hideMark/>
          </w:tcPr>
          <w:p w14:paraId="3F88498F" w14:textId="77777777" w:rsidR="00681B46" w:rsidRPr="00EB6A57" w:rsidRDefault="00681B46" w:rsidP="00EB6A57">
            <w:pPr>
              <w:spacing w:before="220" w:after="220"/>
              <w:rPr>
                <w:bCs/>
                <w:sz w:val="20"/>
                <w:szCs w:val="18"/>
              </w:rPr>
            </w:pPr>
            <w:r w:rsidRPr="00EB6A57">
              <w:rPr>
                <w:bCs/>
                <w:sz w:val="20"/>
                <w:szCs w:val="18"/>
              </w:rPr>
              <w:t>N/A</w:t>
            </w:r>
          </w:p>
        </w:tc>
        <w:tc>
          <w:tcPr>
            <w:tcW w:w="1463" w:type="dxa"/>
            <w:tcBorders>
              <w:top w:val="single" w:sz="4" w:space="0" w:color="auto"/>
              <w:left w:val="single" w:sz="4" w:space="0" w:color="auto"/>
              <w:bottom w:val="single" w:sz="4" w:space="0" w:color="auto"/>
              <w:right w:val="single" w:sz="4" w:space="0" w:color="auto"/>
            </w:tcBorders>
            <w:hideMark/>
          </w:tcPr>
          <w:p w14:paraId="6A7ABDF3" w14:textId="77777777" w:rsidR="00681B46" w:rsidRPr="00EB6A57" w:rsidRDefault="00681B46" w:rsidP="00EB6A57">
            <w:pPr>
              <w:spacing w:before="220" w:after="220"/>
              <w:rPr>
                <w:bCs/>
                <w:sz w:val="20"/>
                <w:szCs w:val="18"/>
              </w:rPr>
            </w:pPr>
            <w:r w:rsidRPr="00EB6A57">
              <w:rPr>
                <w:bCs/>
                <w:sz w:val="20"/>
                <w:szCs w:val="18"/>
              </w:rPr>
              <w:t>90%</w:t>
            </w:r>
          </w:p>
        </w:tc>
        <w:tc>
          <w:tcPr>
            <w:tcW w:w="1721" w:type="dxa"/>
            <w:tcBorders>
              <w:top w:val="single" w:sz="4" w:space="0" w:color="auto"/>
              <w:left w:val="single" w:sz="4" w:space="0" w:color="auto"/>
              <w:bottom w:val="single" w:sz="4" w:space="0" w:color="auto"/>
              <w:right w:val="single" w:sz="4" w:space="0" w:color="auto"/>
            </w:tcBorders>
            <w:hideMark/>
          </w:tcPr>
          <w:p w14:paraId="01D60CAA" w14:textId="77777777" w:rsidR="00681B46" w:rsidRPr="00EB6A57" w:rsidRDefault="00681B46" w:rsidP="00EB6A57">
            <w:pPr>
              <w:spacing w:before="220" w:after="220"/>
              <w:rPr>
                <w:bCs/>
                <w:sz w:val="20"/>
                <w:szCs w:val="18"/>
              </w:rPr>
            </w:pPr>
            <w:r w:rsidRPr="00EB6A57">
              <w:rPr>
                <w:bCs/>
                <w:sz w:val="20"/>
                <w:szCs w:val="18"/>
              </w:rPr>
              <w:t>99%</w:t>
            </w:r>
          </w:p>
        </w:tc>
        <w:tc>
          <w:tcPr>
            <w:tcW w:w="2250" w:type="dxa"/>
            <w:tcBorders>
              <w:top w:val="single" w:sz="4" w:space="0" w:color="auto"/>
              <w:left w:val="single" w:sz="4" w:space="0" w:color="auto"/>
              <w:bottom w:val="single" w:sz="4" w:space="0" w:color="auto"/>
              <w:right w:val="single" w:sz="4" w:space="0" w:color="auto"/>
            </w:tcBorders>
            <w:hideMark/>
          </w:tcPr>
          <w:p w14:paraId="0BB09321" w14:textId="77777777" w:rsidR="00681B46" w:rsidRPr="00EB6A57" w:rsidRDefault="00681B46" w:rsidP="00EB6A57">
            <w:pPr>
              <w:spacing w:before="220" w:after="220"/>
              <w:rPr>
                <w:bCs/>
                <w:sz w:val="20"/>
                <w:szCs w:val="18"/>
              </w:rPr>
            </w:pPr>
            <w:r w:rsidRPr="00EB6A57">
              <w:rPr>
                <w:bCs/>
                <w:sz w:val="20"/>
                <w:szCs w:val="18"/>
              </w:rPr>
              <w:t>Percentage of time the service performance as expected, monthly metric.</w:t>
            </w:r>
          </w:p>
        </w:tc>
      </w:tr>
      <w:tr w:rsidR="00681B46" w:rsidRPr="00EB6A57" w14:paraId="35DA64A0"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44D4498B" w14:textId="77777777" w:rsidR="00681B46" w:rsidRPr="00EB6A57" w:rsidRDefault="00681B46" w:rsidP="00EB6A57">
            <w:pPr>
              <w:spacing w:before="220" w:after="220"/>
              <w:rPr>
                <w:bCs/>
                <w:sz w:val="20"/>
                <w:szCs w:val="18"/>
              </w:rPr>
            </w:pPr>
            <w:r w:rsidRPr="00EB6A57">
              <w:rPr>
                <w:bCs/>
                <w:sz w:val="20"/>
                <w:szCs w:val="18"/>
              </w:rPr>
              <w:t>Disaster Recovery (DR)</w:t>
            </w:r>
          </w:p>
        </w:tc>
        <w:tc>
          <w:tcPr>
            <w:tcW w:w="1356" w:type="dxa"/>
            <w:tcBorders>
              <w:top w:val="single" w:sz="4" w:space="0" w:color="auto"/>
              <w:left w:val="single" w:sz="4" w:space="0" w:color="auto"/>
              <w:bottom w:val="single" w:sz="4" w:space="0" w:color="auto"/>
              <w:right w:val="single" w:sz="4" w:space="0" w:color="auto"/>
            </w:tcBorders>
            <w:hideMark/>
          </w:tcPr>
          <w:p w14:paraId="1F1640DD" w14:textId="77777777" w:rsidR="00681B46" w:rsidRPr="00EB6A57" w:rsidRDefault="00681B46" w:rsidP="00EB6A57">
            <w:pPr>
              <w:spacing w:before="220" w:after="220"/>
              <w:rPr>
                <w:bCs/>
                <w:sz w:val="20"/>
                <w:szCs w:val="18"/>
              </w:rPr>
            </w:pPr>
            <w:r w:rsidRPr="00EB6A57">
              <w:rPr>
                <w:bCs/>
                <w:sz w:val="20"/>
                <w:szCs w:val="18"/>
              </w:rPr>
              <w:t>Recovery Time Objective (RTO) for Epic Failover</w:t>
            </w:r>
          </w:p>
        </w:tc>
        <w:tc>
          <w:tcPr>
            <w:tcW w:w="1690" w:type="dxa"/>
            <w:tcBorders>
              <w:top w:val="single" w:sz="4" w:space="0" w:color="auto"/>
              <w:left w:val="single" w:sz="4" w:space="0" w:color="auto"/>
              <w:bottom w:val="single" w:sz="4" w:space="0" w:color="auto"/>
              <w:right w:val="single" w:sz="4" w:space="0" w:color="auto"/>
            </w:tcBorders>
            <w:hideMark/>
          </w:tcPr>
          <w:p w14:paraId="33C31489" w14:textId="77777777" w:rsidR="00681B46" w:rsidRPr="00EB6A57" w:rsidRDefault="00681B46" w:rsidP="00EB6A57">
            <w:pPr>
              <w:spacing w:before="220" w:after="220"/>
              <w:rPr>
                <w:bCs/>
                <w:sz w:val="20"/>
                <w:szCs w:val="18"/>
              </w:rPr>
            </w:pPr>
            <w:r w:rsidRPr="00EB6A57">
              <w:rPr>
                <w:bCs/>
                <w:sz w:val="20"/>
                <w:szCs w:val="18"/>
              </w:rPr>
              <w:t>Max 30 minutes for critical Epic Production Failover.</w:t>
            </w:r>
          </w:p>
        </w:tc>
        <w:tc>
          <w:tcPr>
            <w:tcW w:w="1463" w:type="dxa"/>
            <w:tcBorders>
              <w:top w:val="single" w:sz="4" w:space="0" w:color="auto"/>
              <w:left w:val="single" w:sz="4" w:space="0" w:color="auto"/>
              <w:bottom w:val="single" w:sz="4" w:space="0" w:color="auto"/>
              <w:right w:val="single" w:sz="4" w:space="0" w:color="auto"/>
            </w:tcBorders>
            <w:hideMark/>
          </w:tcPr>
          <w:p w14:paraId="5DF792BA"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7DC4C3EE"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009D83EA" w14:textId="77777777" w:rsidR="00681B46" w:rsidRPr="00EB6A57" w:rsidRDefault="00681B46" w:rsidP="00EB6A57">
            <w:pPr>
              <w:spacing w:before="220" w:after="220"/>
              <w:rPr>
                <w:bCs/>
                <w:sz w:val="20"/>
                <w:szCs w:val="18"/>
              </w:rPr>
            </w:pPr>
            <w:r w:rsidRPr="00EB6A57">
              <w:rPr>
                <w:bCs/>
                <w:sz w:val="20"/>
                <w:szCs w:val="18"/>
              </w:rPr>
              <w:t>Cross-region DR failover orchestration and validation.</w:t>
            </w:r>
          </w:p>
        </w:tc>
      </w:tr>
      <w:tr w:rsidR="00681B46" w:rsidRPr="00EB6A57" w14:paraId="4BAB57E2"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165325F2" w14:textId="77777777" w:rsidR="00681B46" w:rsidRPr="00EB6A57" w:rsidRDefault="00681B46" w:rsidP="00EB6A57">
            <w:pPr>
              <w:spacing w:before="220" w:after="220"/>
              <w:rPr>
                <w:bCs/>
                <w:sz w:val="20"/>
                <w:szCs w:val="18"/>
              </w:rPr>
            </w:pPr>
            <w:r w:rsidRPr="00EB6A57">
              <w:rPr>
                <w:bCs/>
                <w:sz w:val="20"/>
                <w:szCs w:val="18"/>
              </w:rPr>
              <w:lastRenderedPageBreak/>
              <w:t>Data Protection</w:t>
            </w:r>
          </w:p>
        </w:tc>
        <w:tc>
          <w:tcPr>
            <w:tcW w:w="1356" w:type="dxa"/>
            <w:tcBorders>
              <w:top w:val="single" w:sz="4" w:space="0" w:color="auto"/>
              <w:left w:val="single" w:sz="4" w:space="0" w:color="auto"/>
              <w:bottom w:val="single" w:sz="4" w:space="0" w:color="auto"/>
              <w:right w:val="single" w:sz="4" w:space="0" w:color="auto"/>
            </w:tcBorders>
            <w:hideMark/>
          </w:tcPr>
          <w:p w14:paraId="0EE36F5D" w14:textId="77777777" w:rsidR="00681B46" w:rsidRPr="00EB6A57" w:rsidRDefault="00681B46" w:rsidP="00EB6A57">
            <w:pPr>
              <w:spacing w:before="220" w:after="220"/>
              <w:rPr>
                <w:bCs/>
                <w:sz w:val="20"/>
                <w:szCs w:val="18"/>
              </w:rPr>
            </w:pPr>
            <w:r w:rsidRPr="00EB6A57">
              <w:rPr>
                <w:bCs/>
                <w:sz w:val="20"/>
                <w:szCs w:val="18"/>
              </w:rPr>
              <w:t>Recovery Point Objective (RPO)</w:t>
            </w:r>
          </w:p>
        </w:tc>
        <w:tc>
          <w:tcPr>
            <w:tcW w:w="1690" w:type="dxa"/>
            <w:tcBorders>
              <w:top w:val="single" w:sz="4" w:space="0" w:color="auto"/>
              <w:left w:val="single" w:sz="4" w:space="0" w:color="auto"/>
              <w:bottom w:val="single" w:sz="4" w:space="0" w:color="auto"/>
              <w:right w:val="single" w:sz="4" w:space="0" w:color="auto"/>
            </w:tcBorders>
            <w:hideMark/>
          </w:tcPr>
          <w:p w14:paraId="4633E9F9" w14:textId="77777777" w:rsidR="00681B46" w:rsidRPr="00EB6A57" w:rsidRDefault="00681B46" w:rsidP="00EB6A57">
            <w:pPr>
              <w:spacing w:before="220" w:after="220"/>
              <w:rPr>
                <w:bCs/>
                <w:sz w:val="20"/>
                <w:szCs w:val="18"/>
              </w:rPr>
            </w:pPr>
            <w:r w:rsidRPr="00EB6A57">
              <w:rPr>
                <w:bCs/>
                <w:sz w:val="20"/>
                <w:szCs w:val="18"/>
              </w:rPr>
              <w:t>0-5 minutes (Provider must specify RPO commitment per environment).</w:t>
            </w:r>
          </w:p>
        </w:tc>
        <w:tc>
          <w:tcPr>
            <w:tcW w:w="1463" w:type="dxa"/>
            <w:tcBorders>
              <w:top w:val="single" w:sz="4" w:space="0" w:color="auto"/>
              <w:left w:val="single" w:sz="4" w:space="0" w:color="auto"/>
              <w:bottom w:val="single" w:sz="4" w:space="0" w:color="auto"/>
              <w:right w:val="single" w:sz="4" w:space="0" w:color="auto"/>
            </w:tcBorders>
            <w:hideMark/>
          </w:tcPr>
          <w:p w14:paraId="50A3CF38" w14:textId="77777777" w:rsidR="00681B46" w:rsidRPr="00EB6A57" w:rsidRDefault="00681B46" w:rsidP="00EB6A57">
            <w:pPr>
              <w:spacing w:before="220" w:after="220"/>
              <w:rPr>
                <w:bCs/>
                <w:sz w:val="20"/>
                <w:szCs w:val="18"/>
              </w:rPr>
            </w:pPr>
            <w:r w:rsidRPr="00EB6A57">
              <w:rPr>
                <w:bCs/>
                <w:sz w:val="20"/>
                <w:szCs w:val="18"/>
              </w:rPr>
              <w:t>N/A</w:t>
            </w:r>
          </w:p>
        </w:tc>
        <w:tc>
          <w:tcPr>
            <w:tcW w:w="1721" w:type="dxa"/>
            <w:tcBorders>
              <w:top w:val="single" w:sz="4" w:space="0" w:color="auto"/>
              <w:left w:val="single" w:sz="4" w:space="0" w:color="auto"/>
              <w:bottom w:val="single" w:sz="4" w:space="0" w:color="auto"/>
              <w:right w:val="single" w:sz="4" w:space="0" w:color="auto"/>
            </w:tcBorders>
            <w:hideMark/>
          </w:tcPr>
          <w:p w14:paraId="37518869" w14:textId="77777777" w:rsidR="00681B46" w:rsidRPr="00EB6A57" w:rsidRDefault="00681B46" w:rsidP="00EB6A57">
            <w:pPr>
              <w:spacing w:before="220" w:after="220"/>
              <w:rPr>
                <w:bCs/>
                <w:sz w:val="20"/>
                <w:szCs w:val="18"/>
              </w:rPr>
            </w:pPr>
            <w:r w:rsidRPr="00EB6A57">
              <w:rPr>
                <w:bCs/>
                <w:sz w:val="20"/>
                <w:szCs w:val="18"/>
              </w:rPr>
              <w:t>N/A</w:t>
            </w:r>
          </w:p>
        </w:tc>
        <w:tc>
          <w:tcPr>
            <w:tcW w:w="2250" w:type="dxa"/>
            <w:tcBorders>
              <w:top w:val="single" w:sz="4" w:space="0" w:color="auto"/>
              <w:left w:val="single" w:sz="4" w:space="0" w:color="auto"/>
              <w:bottom w:val="single" w:sz="4" w:space="0" w:color="auto"/>
              <w:right w:val="single" w:sz="4" w:space="0" w:color="auto"/>
            </w:tcBorders>
            <w:hideMark/>
          </w:tcPr>
          <w:p w14:paraId="4DEB01A8" w14:textId="77777777" w:rsidR="00681B46" w:rsidRPr="00EB6A57" w:rsidRDefault="00681B46" w:rsidP="00EB6A57">
            <w:pPr>
              <w:spacing w:before="220" w:after="220"/>
              <w:rPr>
                <w:bCs/>
                <w:sz w:val="20"/>
                <w:szCs w:val="18"/>
              </w:rPr>
            </w:pPr>
            <w:r w:rsidRPr="00EB6A57">
              <w:rPr>
                <w:bCs/>
                <w:sz w:val="20"/>
                <w:szCs w:val="18"/>
              </w:rPr>
              <w:t>Enforcement of immutable backup configurations.</w:t>
            </w:r>
          </w:p>
        </w:tc>
      </w:tr>
      <w:tr w:rsidR="00681B46" w:rsidRPr="00EB6A57" w14:paraId="1DCB85E5" w14:textId="77777777" w:rsidTr="00EB6A57">
        <w:tc>
          <w:tcPr>
            <w:tcW w:w="1505" w:type="dxa"/>
            <w:tcBorders>
              <w:top w:val="single" w:sz="4" w:space="0" w:color="auto"/>
              <w:left w:val="single" w:sz="4" w:space="0" w:color="auto"/>
              <w:bottom w:val="single" w:sz="4" w:space="0" w:color="auto"/>
              <w:right w:val="single" w:sz="4" w:space="0" w:color="auto"/>
            </w:tcBorders>
            <w:hideMark/>
          </w:tcPr>
          <w:p w14:paraId="07574861" w14:textId="77777777" w:rsidR="00681B46" w:rsidRPr="00EB6A57" w:rsidRDefault="00681B46" w:rsidP="00EB6A57">
            <w:pPr>
              <w:spacing w:before="220" w:after="220"/>
              <w:rPr>
                <w:bCs/>
                <w:sz w:val="20"/>
                <w:szCs w:val="18"/>
              </w:rPr>
            </w:pPr>
            <w:r w:rsidRPr="00EB6A57">
              <w:rPr>
                <w:bCs/>
                <w:sz w:val="20"/>
                <w:szCs w:val="18"/>
              </w:rPr>
              <w:t>Service Level Adherence</w:t>
            </w:r>
          </w:p>
        </w:tc>
        <w:tc>
          <w:tcPr>
            <w:tcW w:w="1356" w:type="dxa"/>
            <w:tcBorders>
              <w:top w:val="single" w:sz="4" w:space="0" w:color="auto"/>
              <w:left w:val="single" w:sz="4" w:space="0" w:color="auto"/>
              <w:bottom w:val="single" w:sz="4" w:space="0" w:color="auto"/>
              <w:right w:val="single" w:sz="4" w:space="0" w:color="auto"/>
            </w:tcBorders>
            <w:hideMark/>
          </w:tcPr>
          <w:p w14:paraId="3A806B75" w14:textId="77777777" w:rsidR="00681B46" w:rsidRPr="00EB6A57" w:rsidRDefault="00681B46" w:rsidP="00EB6A57">
            <w:pPr>
              <w:spacing w:before="220" w:after="220"/>
              <w:rPr>
                <w:bCs/>
                <w:sz w:val="20"/>
                <w:szCs w:val="18"/>
              </w:rPr>
            </w:pPr>
            <w:r w:rsidRPr="00EB6A57">
              <w:rPr>
                <w:bCs/>
                <w:sz w:val="20"/>
                <w:szCs w:val="18"/>
              </w:rPr>
              <w:t>Percentage of Service Level Misses</w:t>
            </w:r>
          </w:p>
        </w:tc>
        <w:tc>
          <w:tcPr>
            <w:tcW w:w="1690" w:type="dxa"/>
            <w:tcBorders>
              <w:top w:val="single" w:sz="4" w:space="0" w:color="auto"/>
              <w:left w:val="single" w:sz="4" w:space="0" w:color="auto"/>
              <w:bottom w:val="single" w:sz="4" w:space="0" w:color="auto"/>
              <w:right w:val="single" w:sz="4" w:space="0" w:color="auto"/>
            </w:tcBorders>
            <w:hideMark/>
          </w:tcPr>
          <w:p w14:paraId="6BA74683" w14:textId="77777777" w:rsidR="00681B46" w:rsidRPr="00EB6A57" w:rsidRDefault="00681B46" w:rsidP="00EB6A57">
            <w:pPr>
              <w:spacing w:before="220" w:after="220"/>
              <w:rPr>
                <w:bCs/>
                <w:sz w:val="20"/>
                <w:szCs w:val="18"/>
              </w:rPr>
            </w:pPr>
            <w:r w:rsidRPr="00EB6A57">
              <w:rPr>
                <w:bCs/>
                <w:sz w:val="20"/>
                <w:szCs w:val="18"/>
              </w:rPr>
              <w:t>100%</w:t>
            </w:r>
          </w:p>
        </w:tc>
        <w:tc>
          <w:tcPr>
            <w:tcW w:w="1463" w:type="dxa"/>
            <w:tcBorders>
              <w:top w:val="single" w:sz="4" w:space="0" w:color="auto"/>
              <w:left w:val="single" w:sz="4" w:space="0" w:color="auto"/>
              <w:bottom w:val="single" w:sz="4" w:space="0" w:color="auto"/>
              <w:right w:val="single" w:sz="4" w:space="0" w:color="auto"/>
            </w:tcBorders>
            <w:hideMark/>
          </w:tcPr>
          <w:p w14:paraId="0B48F5B8" w14:textId="77777777" w:rsidR="00681B46" w:rsidRPr="00EB6A57" w:rsidRDefault="00681B46" w:rsidP="00EB6A57">
            <w:pPr>
              <w:spacing w:before="220" w:after="220"/>
              <w:rPr>
                <w:bCs/>
                <w:sz w:val="20"/>
                <w:szCs w:val="18"/>
              </w:rPr>
            </w:pPr>
            <w:r w:rsidRPr="00EB6A57">
              <w:rPr>
                <w:bCs/>
                <w:sz w:val="20"/>
                <w:szCs w:val="18"/>
              </w:rPr>
              <w:t>90%</w:t>
            </w:r>
          </w:p>
        </w:tc>
        <w:tc>
          <w:tcPr>
            <w:tcW w:w="1721" w:type="dxa"/>
            <w:tcBorders>
              <w:top w:val="single" w:sz="4" w:space="0" w:color="auto"/>
              <w:left w:val="single" w:sz="4" w:space="0" w:color="auto"/>
              <w:bottom w:val="single" w:sz="4" w:space="0" w:color="auto"/>
              <w:right w:val="single" w:sz="4" w:space="0" w:color="auto"/>
            </w:tcBorders>
            <w:hideMark/>
          </w:tcPr>
          <w:p w14:paraId="09075D80" w14:textId="77777777" w:rsidR="00681B46" w:rsidRPr="00EB6A57" w:rsidRDefault="00681B46" w:rsidP="00EB6A57">
            <w:pPr>
              <w:spacing w:before="220" w:after="220"/>
              <w:rPr>
                <w:bCs/>
                <w:sz w:val="20"/>
                <w:szCs w:val="18"/>
              </w:rPr>
            </w:pPr>
            <w:r w:rsidRPr="00EB6A57">
              <w:rPr>
                <w:bCs/>
                <w:sz w:val="20"/>
                <w:szCs w:val="18"/>
              </w:rPr>
              <w:t>95%</w:t>
            </w:r>
          </w:p>
        </w:tc>
        <w:tc>
          <w:tcPr>
            <w:tcW w:w="2250" w:type="dxa"/>
            <w:tcBorders>
              <w:top w:val="single" w:sz="4" w:space="0" w:color="auto"/>
              <w:left w:val="single" w:sz="4" w:space="0" w:color="auto"/>
              <w:bottom w:val="single" w:sz="4" w:space="0" w:color="auto"/>
              <w:right w:val="single" w:sz="4" w:space="0" w:color="auto"/>
            </w:tcBorders>
            <w:hideMark/>
          </w:tcPr>
          <w:p w14:paraId="7A9AC02D" w14:textId="77777777" w:rsidR="00681B46" w:rsidRPr="00EB6A57" w:rsidRDefault="00681B46" w:rsidP="00EB6A57">
            <w:pPr>
              <w:spacing w:before="220" w:after="220"/>
              <w:rPr>
                <w:bCs/>
                <w:sz w:val="20"/>
                <w:szCs w:val="18"/>
              </w:rPr>
            </w:pPr>
            <w:r w:rsidRPr="00EB6A57">
              <w:rPr>
                <w:bCs/>
                <w:sz w:val="20"/>
                <w:szCs w:val="18"/>
              </w:rPr>
              <w:t xml:space="preserve">Percentage of service </w:t>
            </w:r>
            <w:proofErr w:type="gramStart"/>
            <w:r w:rsidRPr="00EB6A57">
              <w:rPr>
                <w:bCs/>
                <w:sz w:val="20"/>
                <w:szCs w:val="18"/>
              </w:rPr>
              <w:t>level misses</w:t>
            </w:r>
            <w:proofErr w:type="gramEnd"/>
            <w:r w:rsidRPr="00EB6A57">
              <w:rPr>
                <w:bCs/>
                <w:sz w:val="20"/>
                <w:szCs w:val="18"/>
              </w:rPr>
              <w:t xml:space="preserve"> by month.</w:t>
            </w:r>
          </w:p>
        </w:tc>
      </w:tr>
    </w:tbl>
    <w:p w14:paraId="30601D2D" w14:textId="139E5D77" w:rsidR="00681B46" w:rsidRPr="001032B6" w:rsidRDefault="00EB6A57" w:rsidP="00681B46">
      <w:pPr>
        <w:spacing w:before="220" w:after="220"/>
        <w:jc w:val="both"/>
        <w:rPr>
          <w:b/>
          <w:bCs/>
        </w:rPr>
      </w:pPr>
      <w:r w:rsidRPr="001032B6">
        <w:rPr>
          <w:b/>
          <w:bCs/>
        </w:rPr>
        <w:t>2</w:t>
      </w:r>
      <w:r w:rsidR="00681B46" w:rsidRPr="001032B6">
        <w:rPr>
          <w:b/>
          <w:bCs/>
        </w:rPr>
        <w:t>. IT Business Capabilities and Functions Managed by Vendor</w:t>
      </w:r>
    </w:p>
    <w:p w14:paraId="724C1DBD" w14:textId="03E7E246" w:rsidR="00681B46" w:rsidRPr="001032B6" w:rsidRDefault="001032B6" w:rsidP="001032B6">
      <w:pPr>
        <w:spacing w:before="220" w:after="220"/>
        <w:jc w:val="both"/>
        <w:rPr>
          <w:bCs/>
        </w:rPr>
      </w:pPr>
      <w:r w:rsidRPr="001032B6">
        <w:rPr>
          <w:bCs/>
          <w:highlight w:val="yellow"/>
        </w:rPr>
        <w:t>2</w:t>
      </w:r>
      <w:r w:rsidR="00681B46" w:rsidRPr="001032B6">
        <w:rPr>
          <w:bCs/>
          <w:highlight w:val="yellow"/>
        </w:rPr>
        <w:t>.A</w:t>
      </w:r>
      <w:r w:rsidR="00681B46" w:rsidRPr="001032B6">
        <w:rPr>
          <w:bCs/>
        </w:rPr>
        <w:t xml:space="preserve"> The Vendor (MSP) will assume full operational and tactical (L1-L3) ownership for the core cloud infrastructure services. The proposal must detail the processes, Cloud Management Platform (CMP), and staff that will deliver the following capabilities:</w:t>
      </w:r>
    </w:p>
    <w:p w14:paraId="6D1DDD0F" w14:textId="77777777" w:rsidR="00681B46" w:rsidRPr="001032B6" w:rsidRDefault="00681B46" w:rsidP="00681B46">
      <w:pPr>
        <w:spacing w:before="220" w:after="220"/>
        <w:jc w:val="both"/>
        <w:rPr>
          <w:bCs/>
        </w:rPr>
      </w:pPr>
    </w:p>
    <w:tbl>
      <w:tblPr>
        <w:tblStyle w:val="TableGrid"/>
        <w:tblW w:w="9990" w:type="dxa"/>
        <w:tblInd w:w="-5" w:type="dxa"/>
        <w:tblLook w:val="04A0" w:firstRow="1" w:lastRow="0" w:firstColumn="1" w:lastColumn="0" w:noHBand="0" w:noVBand="1"/>
      </w:tblPr>
      <w:tblGrid>
        <w:gridCol w:w="2335"/>
        <w:gridCol w:w="7655"/>
      </w:tblGrid>
      <w:tr w:rsidR="00681B46" w:rsidRPr="001032B6" w14:paraId="01BC7BED" w14:textId="77777777" w:rsidTr="001032B6">
        <w:tc>
          <w:tcPr>
            <w:tcW w:w="2335" w:type="dxa"/>
            <w:tcBorders>
              <w:top w:val="single" w:sz="4" w:space="0" w:color="auto"/>
              <w:left w:val="single" w:sz="4" w:space="0" w:color="auto"/>
              <w:bottom w:val="single" w:sz="4" w:space="0" w:color="auto"/>
              <w:right w:val="single" w:sz="4" w:space="0" w:color="auto"/>
            </w:tcBorders>
            <w:vAlign w:val="center"/>
            <w:hideMark/>
          </w:tcPr>
          <w:p w14:paraId="2DB67CF7" w14:textId="77777777" w:rsidR="00681B46" w:rsidRPr="001032B6" w:rsidRDefault="00681B46" w:rsidP="00681B46">
            <w:pPr>
              <w:spacing w:before="220" w:after="220"/>
              <w:jc w:val="both"/>
              <w:rPr>
                <w:bCs/>
              </w:rPr>
            </w:pPr>
            <w:r w:rsidRPr="001032B6">
              <w:rPr>
                <w:b/>
                <w:bCs/>
              </w:rPr>
              <w:t>IT Business Capability</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CE4D497" w14:textId="77777777" w:rsidR="00681B46" w:rsidRPr="001032B6" w:rsidRDefault="00681B46" w:rsidP="00681B46">
            <w:pPr>
              <w:spacing w:before="220" w:after="220"/>
              <w:jc w:val="both"/>
              <w:rPr>
                <w:bCs/>
              </w:rPr>
            </w:pPr>
            <w:r w:rsidRPr="001032B6">
              <w:rPr>
                <w:b/>
                <w:bCs/>
              </w:rPr>
              <w:t>Vendor-Managed Functions (Operational/Tactical - L1 to L3)</w:t>
            </w:r>
          </w:p>
        </w:tc>
      </w:tr>
      <w:tr w:rsidR="00681B46" w:rsidRPr="001032B6" w14:paraId="6C854493"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36EAE91F" w14:textId="200A2871" w:rsidR="00681B46" w:rsidRPr="001032B6" w:rsidRDefault="001032B6" w:rsidP="00681B46">
            <w:pPr>
              <w:spacing w:before="220" w:after="220"/>
              <w:jc w:val="both"/>
              <w:rPr>
                <w:bCs/>
              </w:rPr>
            </w:pPr>
            <w:r>
              <w:rPr>
                <w:bCs/>
              </w:rPr>
              <w:t>2</w:t>
            </w:r>
            <w:r w:rsidR="00681B46" w:rsidRPr="001032B6">
              <w:rPr>
                <w:bCs/>
              </w:rPr>
              <w:t>.1. 24/7 Monitoring &amp; Incident Response</w:t>
            </w:r>
          </w:p>
        </w:tc>
        <w:tc>
          <w:tcPr>
            <w:tcW w:w="7655" w:type="dxa"/>
            <w:tcBorders>
              <w:top w:val="single" w:sz="4" w:space="0" w:color="auto"/>
              <w:left w:val="single" w:sz="4" w:space="0" w:color="auto"/>
              <w:bottom w:val="single" w:sz="4" w:space="0" w:color="auto"/>
              <w:right w:val="single" w:sz="4" w:space="0" w:color="auto"/>
            </w:tcBorders>
            <w:hideMark/>
          </w:tcPr>
          <w:p w14:paraId="6CFE22AD" w14:textId="77777777" w:rsidR="00681B46" w:rsidRPr="001032B6" w:rsidRDefault="00681B46" w:rsidP="00681B46">
            <w:pPr>
              <w:spacing w:before="220" w:after="220"/>
              <w:jc w:val="both"/>
              <w:rPr>
                <w:bCs/>
              </w:rPr>
            </w:pPr>
            <w:r w:rsidRPr="001032B6">
              <w:rPr>
                <w:bCs/>
              </w:rPr>
              <w:t xml:space="preserve">24/7/365 Continuous Monitoring (Synthetic and Real-time), Alerting, Incident Triage, Problem Management, Break-fix, and resolution; Runbook </w:t>
            </w:r>
            <w:proofErr w:type="gramStart"/>
            <w:r w:rsidRPr="001032B6">
              <w:rPr>
                <w:bCs/>
              </w:rPr>
              <w:t>automation;.</w:t>
            </w:r>
            <w:proofErr w:type="gramEnd"/>
          </w:p>
        </w:tc>
      </w:tr>
      <w:tr w:rsidR="00681B46" w:rsidRPr="001032B6" w14:paraId="2FBA23D1"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4FA4B3D0" w14:textId="5C8EB666" w:rsidR="00681B46" w:rsidRPr="001032B6" w:rsidRDefault="001032B6" w:rsidP="00681B46">
            <w:pPr>
              <w:spacing w:before="220" w:after="220"/>
              <w:jc w:val="both"/>
              <w:rPr>
                <w:bCs/>
              </w:rPr>
            </w:pPr>
            <w:r>
              <w:rPr>
                <w:bCs/>
              </w:rPr>
              <w:t>2</w:t>
            </w:r>
            <w:r w:rsidR="00681B46" w:rsidRPr="001032B6">
              <w:rPr>
                <w:bCs/>
              </w:rPr>
              <w:t>.2. Azure Network &amp; Firewall Management</w:t>
            </w:r>
          </w:p>
        </w:tc>
        <w:tc>
          <w:tcPr>
            <w:tcW w:w="7655" w:type="dxa"/>
            <w:tcBorders>
              <w:top w:val="single" w:sz="4" w:space="0" w:color="auto"/>
              <w:left w:val="single" w:sz="4" w:space="0" w:color="auto"/>
              <w:bottom w:val="single" w:sz="4" w:space="0" w:color="auto"/>
              <w:right w:val="single" w:sz="4" w:space="0" w:color="auto"/>
            </w:tcBorders>
            <w:hideMark/>
          </w:tcPr>
          <w:p w14:paraId="7C930880" w14:textId="77777777" w:rsidR="00681B46" w:rsidRPr="001032B6" w:rsidRDefault="00681B46" w:rsidP="00681B46">
            <w:pPr>
              <w:spacing w:before="220" w:after="220"/>
              <w:jc w:val="both"/>
              <w:rPr>
                <w:bCs/>
              </w:rPr>
            </w:pPr>
            <w:r w:rsidRPr="001032B6">
              <w:rPr>
                <w:bCs/>
              </w:rPr>
              <w:t xml:space="preserve">Day-to-day management of </w:t>
            </w:r>
            <w:proofErr w:type="spellStart"/>
            <w:r w:rsidRPr="001032B6">
              <w:rPr>
                <w:bCs/>
              </w:rPr>
              <w:t>VNets</w:t>
            </w:r>
            <w:proofErr w:type="spellEnd"/>
            <w:r w:rsidRPr="001032B6">
              <w:rPr>
                <w:bCs/>
              </w:rPr>
              <w:t>, NSGs, Azure Firewall, and ExpressRoute; Load Balancer management; DHCP/DNS/IPAM.</w:t>
            </w:r>
          </w:p>
        </w:tc>
      </w:tr>
      <w:tr w:rsidR="00681B46" w:rsidRPr="001032B6" w14:paraId="6A9FF461"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12FCD295" w14:textId="786D6E5B" w:rsidR="00681B46" w:rsidRPr="001032B6" w:rsidRDefault="001032B6" w:rsidP="00681B46">
            <w:pPr>
              <w:spacing w:before="220" w:after="220"/>
              <w:jc w:val="both"/>
              <w:rPr>
                <w:bCs/>
              </w:rPr>
            </w:pPr>
            <w:r>
              <w:rPr>
                <w:bCs/>
              </w:rPr>
              <w:t>2</w:t>
            </w:r>
            <w:r w:rsidR="00681B46" w:rsidRPr="001032B6">
              <w:rPr>
                <w:bCs/>
              </w:rPr>
              <w:t>.3. Infrastructure Patch Management</w:t>
            </w:r>
          </w:p>
        </w:tc>
        <w:tc>
          <w:tcPr>
            <w:tcW w:w="7655" w:type="dxa"/>
            <w:tcBorders>
              <w:top w:val="single" w:sz="4" w:space="0" w:color="auto"/>
              <w:left w:val="single" w:sz="4" w:space="0" w:color="auto"/>
              <w:bottom w:val="single" w:sz="4" w:space="0" w:color="auto"/>
              <w:right w:val="single" w:sz="4" w:space="0" w:color="auto"/>
            </w:tcBorders>
            <w:hideMark/>
          </w:tcPr>
          <w:p w14:paraId="082766D0" w14:textId="77777777" w:rsidR="00681B46" w:rsidRPr="001032B6" w:rsidRDefault="00681B46" w:rsidP="00681B46">
            <w:pPr>
              <w:spacing w:before="220" w:after="220"/>
              <w:jc w:val="both"/>
              <w:rPr>
                <w:bCs/>
              </w:rPr>
            </w:pPr>
            <w:r w:rsidRPr="001032B6">
              <w:rPr>
                <w:bCs/>
              </w:rPr>
              <w:t>Coordinate and execute timely patching of OS and underlying cloud systems; post-patch validation; automated vulnerability scanning.</w:t>
            </w:r>
          </w:p>
        </w:tc>
      </w:tr>
      <w:tr w:rsidR="00681B46" w:rsidRPr="001032B6" w14:paraId="76F160AA"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156F1DA2" w14:textId="4E7F9A78" w:rsidR="00681B46" w:rsidRPr="001032B6" w:rsidRDefault="001032B6" w:rsidP="00681B46">
            <w:pPr>
              <w:spacing w:before="220" w:after="220"/>
              <w:jc w:val="both"/>
              <w:rPr>
                <w:bCs/>
              </w:rPr>
            </w:pPr>
            <w:r>
              <w:rPr>
                <w:bCs/>
              </w:rPr>
              <w:t>2</w:t>
            </w:r>
            <w:r w:rsidR="00681B46" w:rsidRPr="001032B6">
              <w:rPr>
                <w:bCs/>
              </w:rPr>
              <w:t>.4. Backup and DR Operations</w:t>
            </w:r>
          </w:p>
        </w:tc>
        <w:tc>
          <w:tcPr>
            <w:tcW w:w="7655" w:type="dxa"/>
            <w:tcBorders>
              <w:top w:val="single" w:sz="4" w:space="0" w:color="auto"/>
              <w:left w:val="single" w:sz="4" w:space="0" w:color="auto"/>
              <w:bottom w:val="single" w:sz="4" w:space="0" w:color="auto"/>
              <w:right w:val="single" w:sz="4" w:space="0" w:color="auto"/>
            </w:tcBorders>
            <w:hideMark/>
          </w:tcPr>
          <w:p w14:paraId="62D09502" w14:textId="77777777" w:rsidR="00681B46" w:rsidRPr="001032B6" w:rsidRDefault="00681B46" w:rsidP="00681B46">
            <w:pPr>
              <w:spacing w:before="220" w:after="220"/>
              <w:jc w:val="both"/>
              <w:rPr>
                <w:bCs/>
              </w:rPr>
            </w:pPr>
            <w:r w:rsidRPr="001032B6">
              <w:rPr>
                <w:bCs/>
              </w:rPr>
              <w:t>DR planning and testing; Execution of backup policies; RTO/RPO compliance monitoring.</w:t>
            </w:r>
          </w:p>
        </w:tc>
      </w:tr>
      <w:tr w:rsidR="00681B46" w:rsidRPr="001032B6" w14:paraId="422FBD3B"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25164C07" w14:textId="48F2BAEA" w:rsidR="00681B46" w:rsidRPr="001032B6" w:rsidRDefault="001032B6" w:rsidP="00681B46">
            <w:pPr>
              <w:spacing w:before="220" w:after="220"/>
              <w:jc w:val="both"/>
              <w:rPr>
                <w:bCs/>
              </w:rPr>
            </w:pPr>
            <w:r>
              <w:rPr>
                <w:bCs/>
              </w:rPr>
              <w:t>2</w:t>
            </w:r>
            <w:r w:rsidR="00681B46" w:rsidRPr="001032B6">
              <w:rPr>
                <w:bCs/>
              </w:rPr>
              <w:t>.5. Azure Cloud Platform Maintenance</w:t>
            </w:r>
          </w:p>
        </w:tc>
        <w:tc>
          <w:tcPr>
            <w:tcW w:w="7655" w:type="dxa"/>
            <w:tcBorders>
              <w:top w:val="single" w:sz="4" w:space="0" w:color="auto"/>
              <w:left w:val="single" w:sz="4" w:space="0" w:color="auto"/>
              <w:bottom w:val="single" w:sz="4" w:space="0" w:color="auto"/>
              <w:right w:val="single" w:sz="4" w:space="0" w:color="auto"/>
            </w:tcBorders>
            <w:hideMark/>
          </w:tcPr>
          <w:p w14:paraId="636F5C2B" w14:textId="77777777" w:rsidR="00681B46" w:rsidRPr="001032B6" w:rsidRDefault="00681B46" w:rsidP="00681B46">
            <w:pPr>
              <w:spacing w:before="220" w:after="220"/>
              <w:jc w:val="both"/>
              <w:rPr>
                <w:bCs/>
              </w:rPr>
            </w:pPr>
            <w:r w:rsidRPr="001032B6">
              <w:rPr>
                <w:bCs/>
              </w:rPr>
              <w:t>Provisioning and operation of Compute (VMs), Storage, and foundational PaaS services; Implementation and maintenance of Infrastructure as Code (</w:t>
            </w:r>
            <w:proofErr w:type="spellStart"/>
            <w:r w:rsidRPr="001032B6">
              <w:rPr>
                <w:bCs/>
              </w:rPr>
              <w:t>IaC</w:t>
            </w:r>
            <w:proofErr w:type="spellEnd"/>
            <w:r w:rsidRPr="001032B6">
              <w:rPr>
                <w:bCs/>
              </w:rPr>
              <w:t>).</w:t>
            </w:r>
          </w:p>
        </w:tc>
      </w:tr>
      <w:tr w:rsidR="00681B46" w:rsidRPr="001032B6" w14:paraId="24A62085"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3C7B5195" w14:textId="58514157" w:rsidR="00681B46" w:rsidRPr="001032B6" w:rsidRDefault="001032B6" w:rsidP="00681B46">
            <w:pPr>
              <w:spacing w:before="220" w:after="220"/>
              <w:jc w:val="both"/>
              <w:rPr>
                <w:bCs/>
              </w:rPr>
            </w:pPr>
            <w:r>
              <w:rPr>
                <w:bCs/>
              </w:rPr>
              <w:t>2</w:t>
            </w:r>
            <w:r w:rsidR="00681B46" w:rsidRPr="001032B6">
              <w:rPr>
                <w:bCs/>
              </w:rPr>
              <w:t>.6. Database Management</w:t>
            </w:r>
          </w:p>
        </w:tc>
        <w:tc>
          <w:tcPr>
            <w:tcW w:w="7655" w:type="dxa"/>
            <w:tcBorders>
              <w:top w:val="single" w:sz="4" w:space="0" w:color="auto"/>
              <w:left w:val="single" w:sz="4" w:space="0" w:color="auto"/>
              <w:bottom w:val="single" w:sz="4" w:space="0" w:color="auto"/>
              <w:right w:val="single" w:sz="4" w:space="0" w:color="auto"/>
            </w:tcBorders>
            <w:hideMark/>
          </w:tcPr>
          <w:p w14:paraId="61F5901A" w14:textId="77777777" w:rsidR="00681B46" w:rsidRPr="001032B6" w:rsidRDefault="00681B46" w:rsidP="00681B46">
            <w:pPr>
              <w:spacing w:before="220" w:after="220"/>
              <w:jc w:val="both"/>
              <w:rPr>
                <w:bCs/>
              </w:rPr>
            </w:pPr>
            <w:r w:rsidRPr="001032B6">
              <w:rPr>
                <w:bCs/>
              </w:rPr>
              <w:t xml:space="preserve">L1 to L3 Database Management support for all managed databases, including Epic's Chronicles and Clarity </w:t>
            </w:r>
            <w:proofErr w:type="gramStart"/>
            <w:r w:rsidRPr="001032B6">
              <w:rPr>
                <w:bCs/>
              </w:rPr>
              <w:t>environments</w:t>
            </w:r>
            <w:proofErr w:type="gramEnd"/>
            <w:r w:rsidRPr="001032B6">
              <w:rPr>
                <w:bCs/>
              </w:rPr>
              <w:t xml:space="preserve"> (e.g., operational tuning, maintenance, </w:t>
            </w:r>
            <w:proofErr w:type="gramStart"/>
            <w:r w:rsidRPr="001032B6">
              <w:rPr>
                <w:bCs/>
              </w:rPr>
              <w:t>high-availability</w:t>
            </w:r>
            <w:proofErr w:type="gramEnd"/>
            <w:r w:rsidRPr="001032B6">
              <w:rPr>
                <w:bCs/>
              </w:rPr>
              <w:t>).</w:t>
            </w:r>
          </w:p>
        </w:tc>
      </w:tr>
      <w:tr w:rsidR="00681B46" w:rsidRPr="001032B6" w14:paraId="45179EAA"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143A5773" w14:textId="1F2005AA" w:rsidR="00681B46" w:rsidRPr="001032B6" w:rsidRDefault="001032B6" w:rsidP="00681B46">
            <w:pPr>
              <w:spacing w:before="220" w:after="220"/>
              <w:jc w:val="both"/>
              <w:rPr>
                <w:bCs/>
              </w:rPr>
            </w:pPr>
            <w:r>
              <w:rPr>
                <w:bCs/>
              </w:rPr>
              <w:t>2</w:t>
            </w:r>
            <w:r w:rsidR="00681B46" w:rsidRPr="001032B6">
              <w:rPr>
                <w:bCs/>
              </w:rPr>
              <w:t>.7. Cloud Financial Management (FinOps)</w:t>
            </w:r>
          </w:p>
        </w:tc>
        <w:tc>
          <w:tcPr>
            <w:tcW w:w="7655" w:type="dxa"/>
            <w:tcBorders>
              <w:top w:val="single" w:sz="4" w:space="0" w:color="auto"/>
              <w:left w:val="single" w:sz="4" w:space="0" w:color="auto"/>
              <w:bottom w:val="single" w:sz="4" w:space="0" w:color="auto"/>
              <w:right w:val="single" w:sz="4" w:space="0" w:color="auto"/>
            </w:tcBorders>
            <w:hideMark/>
          </w:tcPr>
          <w:p w14:paraId="1D39950C" w14:textId="77777777" w:rsidR="00681B46" w:rsidRPr="001032B6" w:rsidRDefault="00681B46" w:rsidP="00681B46">
            <w:pPr>
              <w:spacing w:before="220" w:after="220"/>
              <w:jc w:val="both"/>
              <w:rPr>
                <w:bCs/>
              </w:rPr>
            </w:pPr>
            <w:r w:rsidRPr="001032B6">
              <w:rPr>
                <w:bCs/>
              </w:rPr>
              <w:t>Azure billing and consumption reviews; Cost anomaly detection; Proactive cost optimization and reporting, utilizing a dedicated toolset.</w:t>
            </w:r>
          </w:p>
        </w:tc>
      </w:tr>
      <w:tr w:rsidR="00681B46" w:rsidRPr="001032B6" w14:paraId="5E0779E6"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362EA72A" w14:textId="761A400E" w:rsidR="00681B46" w:rsidRPr="001032B6" w:rsidRDefault="001032B6" w:rsidP="00681B46">
            <w:pPr>
              <w:spacing w:before="220" w:after="220"/>
              <w:jc w:val="both"/>
              <w:rPr>
                <w:bCs/>
              </w:rPr>
            </w:pPr>
            <w:r>
              <w:rPr>
                <w:bCs/>
              </w:rPr>
              <w:lastRenderedPageBreak/>
              <w:t>2</w:t>
            </w:r>
            <w:r w:rsidR="00681B46" w:rsidRPr="001032B6">
              <w:rPr>
                <w:bCs/>
              </w:rPr>
              <w:t>.8. Security Operations &amp; Compliance</w:t>
            </w:r>
          </w:p>
        </w:tc>
        <w:tc>
          <w:tcPr>
            <w:tcW w:w="7655" w:type="dxa"/>
            <w:tcBorders>
              <w:top w:val="single" w:sz="4" w:space="0" w:color="auto"/>
              <w:left w:val="single" w:sz="4" w:space="0" w:color="auto"/>
              <w:bottom w:val="single" w:sz="4" w:space="0" w:color="auto"/>
              <w:right w:val="single" w:sz="4" w:space="0" w:color="auto"/>
            </w:tcBorders>
            <w:hideMark/>
          </w:tcPr>
          <w:p w14:paraId="36CFD412" w14:textId="77777777" w:rsidR="00681B46" w:rsidRPr="001032B6" w:rsidRDefault="00681B46" w:rsidP="00681B46">
            <w:pPr>
              <w:spacing w:before="220" w:after="220"/>
              <w:jc w:val="both"/>
              <w:rPr>
                <w:bCs/>
              </w:rPr>
            </w:pPr>
            <w:r w:rsidRPr="001032B6">
              <w:rPr>
                <w:bCs/>
              </w:rPr>
              <w:t>Tactical security implementation (e.g., Privileged Access Management, Zero Trust); Continuous compliance monitoring (e.g., Azure Policy enforcement).</w:t>
            </w:r>
          </w:p>
        </w:tc>
      </w:tr>
      <w:tr w:rsidR="00681B46" w:rsidRPr="001032B6" w14:paraId="43A3D8AA"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5FDC51B5" w14:textId="06FB76AB" w:rsidR="00681B46" w:rsidRPr="001032B6" w:rsidRDefault="001032B6" w:rsidP="00681B46">
            <w:pPr>
              <w:spacing w:before="220" w:after="220"/>
              <w:jc w:val="both"/>
              <w:rPr>
                <w:bCs/>
              </w:rPr>
            </w:pPr>
            <w:r>
              <w:rPr>
                <w:bCs/>
              </w:rPr>
              <w:t>2</w:t>
            </w:r>
            <w:r w:rsidR="00681B46" w:rsidRPr="001032B6">
              <w:rPr>
                <w:bCs/>
              </w:rPr>
              <w:t>.9. Ad Hoc Engineering &amp; SRE Support</w:t>
            </w:r>
          </w:p>
        </w:tc>
        <w:tc>
          <w:tcPr>
            <w:tcW w:w="7655" w:type="dxa"/>
            <w:tcBorders>
              <w:top w:val="single" w:sz="4" w:space="0" w:color="auto"/>
              <w:left w:val="single" w:sz="4" w:space="0" w:color="auto"/>
              <w:bottom w:val="single" w:sz="4" w:space="0" w:color="auto"/>
              <w:right w:val="single" w:sz="4" w:space="0" w:color="auto"/>
            </w:tcBorders>
            <w:hideMark/>
          </w:tcPr>
          <w:p w14:paraId="22376ED6" w14:textId="77777777" w:rsidR="00681B46" w:rsidRPr="001032B6" w:rsidRDefault="00681B46" w:rsidP="00681B46">
            <w:pPr>
              <w:spacing w:before="220" w:after="220"/>
              <w:jc w:val="both"/>
              <w:rPr>
                <w:bCs/>
              </w:rPr>
            </w:pPr>
            <w:r w:rsidRPr="001032B6">
              <w:rPr>
                <w:bCs/>
              </w:rPr>
              <w:t>Provision of Site Reliability Engineering (SRE) resources for efficiency and reliability; Support for minor, ad hoc engineering requests that do not warrant a full project.</w:t>
            </w:r>
          </w:p>
        </w:tc>
      </w:tr>
      <w:tr w:rsidR="00681B46" w:rsidRPr="001032B6" w14:paraId="11F2C389" w14:textId="77777777" w:rsidTr="001032B6">
        <w:tc>
          <w:tcPr>
            <w:tcW w:w="2335" w:type="dxa"/>
            <w:tcBorders>
              <w:top w:val="single" w:sz="4" w:space="0" w:color="auto"/>
              <w:left w:val="single" w:sz="4" w:space="0" w:color="auto"/>
              <w:bottom w:val="single" w:sz="4" w:space="0" w:color="auto"/>
              <w:right w:val="single" w:sz="4" w:space="0" w:color="auto"/>
            </w:tcBorders>
            <w:hideMark/>
          </w:tcPr>
          <w:p w14:paraId="7FBBD230" w14:textId="546B26B1" w:rsidR="00681B46" w:rsidRPr="001032B6" w:rsidRDefault="001032B6" w:rsidP="00681B46">
            <w:pPr>
              <w:spacing w:before="220" w:after="220"/>
              <w:jc w:val="both"/>
              <w:rPr>
                <w:bCs/>
              </w:rPr>
            </w:pPr>
            <w:r>
              <w:rPr>
                <w:bCs/>
              </w:rPr>
              <w:t>2</w:t>
            </w:r>
            <w:r w:rsidR="00681B46" w:rsidRPr="001032B6">
              <w:rPr>
                <w:bCs/>
              </w:rPr>
              <w:t>.10. Cloud Management Platform &amp; Tools</w:t>
            </w:r>
          </w:p>
        </w:tc>
        <w:tc>
          <w:tcPr>
            <w:tcW w:w="7655" w:type="dxa"/>
            <w:tcBorders>
              <w:top w:val="single" w:sz="4" w:space="0" w:color="auto"/>
              <w:left w:val="single" w:sz="4" w:space="0" w:color="auto"/>
              <w:bottom w:val="single" w:sz="4" w:space="0" w:color="auto"/>
              <w:right w:val="single" w:sz="4" w:space="0" w:color="auto"/>
            </w:tcBorders>
            <w:hideMark/>
          </w:tcPr>
          <w:p w14:paraId="637B72DF" w14:textId="77777777" w:rsidR="00681B46" w:rsidRPr="001032B6" w:rsidRDefault="00681B46" w:rsidP="00681B46">
            <w:pPr>
              <w:spacing w:before="220" w:after="220"/>
              <w:jc w:val="both"/>
              <w:rPr>
                <w:bCs/>
              </w:rPr>
            </w:pPr>
            <w:r w:rsidRPr="001032B6">
              <w:rPr>
                <w:bCs/>
              </w:rPr>
              <w:t>Day-to-day use and maintenance of the CMP/tooling for all managed services. This includes ensuring ITSM integration with JPS Health's systems, providing customer access via GUI/Portal and API, and using the defined tools.</w:t>
            </w:r>
          </w:p>
        </w:tc>
      </w:tr>
    </w:tbl>
    <w:p w14:paraId="29440F2D" w14:textId="77777777" w:rsidR="00681B46" w:rsidRPr="001032B6" w:rsidRDefault="00681B46" w:rsidP="00681B46">
      <w:pPr>
        <w:spacing w:before="220" w:after="220"/>
        <w:jc w:val="both"/>
        <w:rPr>
          <w:b/>
          <w:bCs/>
        </w:rPr>
      </w:pPr>
    </w:p>
    <w:p w14:paraId="3306F1DD" w14:textId="0FF1142E" w:rsidR="00681B46" w:rsidRPr="001032B6" w:rsidRDefault="001032B6" w:rsidP="001032B6">
      <w:pPr>
        <w:spacing w:before="220" w:after="220"/>
        <w:jc w:val="both"/>
        <w:rPr>
          <w:bCs/>
        </w:rPr>
      </w:pPr>
      <w:r>
        <w:rPr>
          <w:bCs/>
        </w:rPr>
        <w:t>2</w:t>
      </w:r>
      <w:r w:rsidR="00681B46" w:rsidRPr="001032B6">
        <w:rPr>
          <w:bCs/>
        </w:rPr>
        <w:t xml:space="preserve">.B Epic Operational Playbook: </w:t>
      </w:r>
      <w:proofErr w:type="gramStart"/>
      <w:r w:rsidR="00681B46" w:rsidRPr="001032B6">
        <w:rPr>
          <w:bCs/>
        </w:rPr>
        <w:t>he</w:t>
      </w:r>
      <w:proofErr w:type="gramEnd"/>
      <w:r w:rsidR="00681B46" w:rsidRPr="001032B6">
        <w:rPr>
          <w:bCs/>
        </w:rPr>
        <w:t xml:space="preserve"> Vendor must provide Epic-specific operational playbooks that outline the processes used to maintain performance, reliability, and recoverability of the Epic environments. At a minimum, the playbooks must cover:</w:t>
      </w:r>
    </w:p>
    <w:p w14:paraId="2C796DD3" w14:textId="77777777" w:rsidR="00681B46" w:rsidRPr="001032B6" w:rsidRDefault="00681B46" w:rsidP="00681B46">
      <w:pPr>
        <w:numPr>
          <w:ilvl w:val="0"/>
          <w:numId w:val="18"/>
        </w:numPr>
        <w:spacing w:before="220" w:after="220"/>
        <w:jc w:val="both"/>
        <w:rPr>
          <w:bCs/>
        </w:rPr>
      </w:pPr>
      <w:r w:rsidRPr="001032B6">
        <w:rPr>
          <w:bCs/>
        </w:rPr>
        <w:t>Performance management procedures for Epic Hyperspace, Web BLOBs, Interconnect, and Chronicles.</w:t>
      </w:r>
    </w:p>
    <w:p w14:paraId="4976F684" w14:textId="77777777" w:rsidR="00681B46" w:rsidRPr="001032B6" w:rsidRDefault="00681B46" w:rsidP="00681B46">
      <w:pPr>
        <w:numPr>
          <w:ilvl w:val="0"/>
          <w:numId w:val="18"/>
        </w:numPr>
        <w:spacing w:before="220" w:after="220"/>
        <w:jc w:val="both"/>
        <w:rPr>
          <w:bCs/>
        </w:rPr>
      </w:pPr>
      <w:r w:rsidRPr="001032B6">
        <w:rPr>
          <w:bCs/>
        </w:rPr>
        <w:t>Failover and failback procedures for all Epic environments, including DR orchestration steps.</w:t>
      </w:r>
    </w:p>
    <w:p w14:paraId="73DC0F00" w14:textId="77777777" w:rsidR="00681B46" w:rsidRPr="001032B6" w:rsidRDefault="00681B46" w:rsidP="00681B46">
      <w:pPr>
        <w:numPr>
          <w:ilvl w:val="0"/>
          <w:numId w:val="18"/>
        </w:numPr>
        <w:spacing w:before="220" w:after="220"/>
        <w:jc w:val="both"/>
        <w:rPr>
          <w:bCs/>
        </w:rPr>
      </w:pPr>
      <w:r w:rsidRPr="001032B6">
        <w:rPr>
          <w:bCs/>
        </w:rPr>
        <w:t>Support requirements for Epic patching, upgrades, and release cycles.</w:t>
      </w:r>
    </w:p>
    <w:p w14:paraId="5C38662A" w14:textId="77777777" w:rsidR="00681B46" w:rsidRPr="001032B6" w:rsidRDefault="00681B46" w:rsidP="00681B46">
      <w:pPr>
        <w:numPr>
          <w:ilvl w:val="0"/>
          <w:numId w:val="18"/>
        </w:numPr>
        <w:spacing w:before="220" w:after="220"/>
        <w:jc w:val="both"/>
        <w:rPr>
          <w:bCs/>
        </w:rPr>
      </w:pPr>
      <w:r w:rsidRPr="001032B6">
        <w:rPr>
          <w:bCs/>
        </w:rPr>
        <w:t xml:space="preserve">Thresholds and escalation paths for </w:t>
      </w:r>
      <w:proofErr w:type="spellStart"/>
      <w:r w:rsidRPr="001032B6">
        <w:rPr>
          <w:bCs/>
        </w:rPr>
        <w:t>GRefs</w:t>
      </w:r>
      <w:proofErr w:type="spellEnd"/>
      <w:r w:rsidRPr="001032B6">
        <w:rPr>
          <w:bCs/>
        </w:rPr>
        <w:t>/s performance incidents.</w:t>
      </w:r>
    </w:p>
    <w:p w14:paraId="7AB43A23" w14:textId="77777777" w:rsidR="00681B46" w:rsidRPr="001032B6" w:rsidRDefault="00681B46" w:rsidP="00681B46">
      <w:pPr>
        <w:numPr>
          <w:ilvl w:val="0"/>
          <w:numId w:val="18"/>
        </w:numPr>
        <w:spacing w:before="220" w:after="220"/>
        <w:jc w:val="both"/>
        <w:rPr>
          <w:bCs/>
        </w:rPr>
      </w:pPr>
      <w:r w:rsidRPr="001032B6">
        <w:rPr>
          <w:bCs/>
        </w:rPr>
        <w:t>Procedures for managing Epic-integrated systems and dependencies within Azure.</w:t>
      </w:r>
    </w:p>
    <w:p w14:paraId="6F274B98" w14:textId="77777777" w:rsidR="00681B46" w:rsidRPr="001032B6" w:rsidRDefault="00681B46" w:rsidP="00681B46">
      <w:pPr>
        <w:spacing w:before="220" w:after="220"/>
        <w:jc w:val="both"/>
        <w:rPr>
          <w:b/>
          <w:bCs/>
        </w:rPr>
      </w:pPr>
    </w:p>
    <w:p w14:paraId="518C0239" w14:textId="4921C8D4" w:rsidR="00681B46" w:rsidRPr="001032B6" w:rsidRDefault="001032B6" w:rsidP="001032B6">
      <w:pPr>
        <w:spacing w:before="220" w:after="220"/>
        <w:jc w:val="both"/>
        <w:rPr>
          <w:bCs/>
        </w:rPr>
      </w:pPr>
      <w:r>
        <w:rPr>
          <w:bCs/>
        </w:rPr>
        <w:t>2</w:t>
      </w:r>
      <w:r w:rsidR="00681B46" w:rsidRPr="001032B6">
        <w:rPr>
          <w:bCs/>
        </w:rPr>
        <w:t>.C Major Incident Management Requirements (New Mandatory Section)</w:t>
      </w:r>
    </w:p>
    <w:p w14:paraId="61B8420F" w14:textId="77777777" w:rsidR="00EB6A57" w:rsidRPr="001032B6" w:rsidRDefault="00681B46" w:rsidP="00EB6A57">
      <w:pPr>
        <w:pStyle w:val="ListParagraph"/>
        <w:numPr>
          <w:ilvl w:val="0"/>
          <w:numId w:val="30"/>
        </w:numPr>
        <w:spacing w:before="220" w:after="220"/>
        <w:jc w:val="both"/>
        <w:rPr>
          <w:bCs/>
        </w:rPr>
      </w:pPr>
      <w:r w:rsidRPr="001032B6">
        <w:rPr>
          <w:bCs/>
        </w:rPr>
        <w:t>The Vendor must describe the structure and communication process used to manage all P1 incidents. At a minimum, the response must include:</w:t>
      </w:r>
    </w:p>
    <w:p w14:paraId="7C2F2A01" w14:textId="77777777" w:rsidR="00EB6A57" w:rsidRPr="001032B6" w:rsidRDefault="00681B46" w:rsidP="00EB6A57">
      <w:pPr>
        <w:pStyle w:val="ListParagraph"/>
        <w:numPr>
          <w:ilvl w:val="1"/>
          <w:numId w:val="30"/>
        </w:numPr>
        <w:spacing w:before="220" w:after="220"/>
        <w:jc w:val="both"/>
        <w:rPr>
          <w:bCs/>
        </w:rPr>
      </w:pPr>
      <w:r w:rsidRPr="001032B6">
        <w:rPr>
          <w:bCs/>
        </w:rPr>
        <w:t>Maximum time to initiate an incident bridge after P1 detection.</w:t>
      </w:r>
    </w:p>
    <w:p w14:paraId="0FCDBEE2" w14:textId="77777777" w:rsidR="001032B6" w:rsidRPr="001032B6" w:rsidRDefault="00681B46" w:rsidP="001032B6">
      <w:pPr>
        <w:pStyle w:val="ListParagraph"/>
        <w:numPr>
          <w:ilvl w:val="1"/>
          <w:numId w:val="30"/>
        </w:numPr>
        <w:spacing w:before="220" w:after="220"/>
        <w:jc w:val="both"/>
        <w:rPr>
          <w:bCs/>
        </w:rPr>
      </w:pPr>
      <w:r w:rsidRPr="001032B6">
        <w:rPr>
          <w:bCs/>
        </w:rPr>
        <w:t>Required bridge participants, including a cloud architect, an SRE lead, and an Epic specialist with Epic-on-Azure experience.</w:t>
      </w:r>
    </w:p>
    <w:p w14:paraId="1075DB4F" w14:textId="77777777" w:rsidR="001032B6" w:rsidRPr="001032B6" w:rsidRDefault="00681B46" w:rsidP="001032B6">
      <w:pPr>
        <w:pStyle w:val="ListParagraph"/>
        <w:numPr>
          <w:ilvl w:val="1"/>
          <w:numId w:val="30"/>
        </w:numPr>
        <w:spacing w:before="220" w:after="220"/>
        <w:jc w:val="both"/>
        <w:rPr>
          <w:bCs/>
        </w:rPr>
      </w:pPr>
      <w:r w:rsidRPr="001032B6">
        <w:rPr>
          <w:bCs/>
        </w:rPr>
        <w:t>Communication expectations, including real-time updates, escalation procedures, and executive notifications for JPS Health leadership.</w:t>
      </w:r>
    </w:p>
    <w:p w14:paraId="2DD187E2" w14:textId="2B344CDF" w:rsidR="00681B46" w:rsidRPr="001032B6" w:rsidRDefault="00681B46" w:rsidP="001032B6">
      <w:pPr>
        <w:pStyle w:val="ListParagraph"/>
        <w:numPr>
          <w:ilvl w:val="1"/>
          <w:numId w:val="30"/>
        </w:numPr>
        <w:spacing w:before="220" w:after="220"/>
        <w:jc w:val="both"/>
        <w:rPr>
          <w:bCs/>
        </w:rPr>
      </w:pPr>
      <w:r w:rsidRPr="001032B6">
        <w:rPr>
          <w:bCs/>
        </w:rPr>
        <w:t>Root cause analysis requirements, including timeline, required level of detail, contributing factors, and corrective action plans.</w:t>
      </w:r>
    </w:p>
    <w:p w14:paraId="5A56BE4B" w14:textId="77777777" w:rsidR="00681B46" w:rsidRDefault="00681B46" w:rsidP="00681B46">
      <w:pPr>
        <w:spacing w:before="220" w:after="220"/>
        <w:jc w:val="both"/>
        <w:rPr>
          <w:b/>
          <w:bCs/>
          <w:highlight w:val="yellow"/>
        </w:rPr>
      </w:pPr>
    </w:p>
    <w:p w14:paraId="694F6CBC" w14:textId="77777777" w:rsidR="001032B6" w:rsidRDefault="001032B6" w:rsidP="00681B46">
      <w:pPr>
        <w:spacing w:before="220" w:after="220"/>
        <w:jc w:val="both"/>
        <w:rPr>
          <w:b/>
          <w:bCs/>
          <w:highlight w:val="yellow"/>
        </w:rPr>
      </w:pPr>
    </w:p>
    <w:p w14:paraId="79564375" w14:textId="77777777" w:rsidR="001032B6" w:rsidRPr="001032B6" w:rsidRDefault="001032B6" w:rsidP="00681B46">
      <w:pPr>
        <w:spacing w:before="220" w:after="220"/>
        <w:jc w:val="both"/>
        <w:rPr>
          <w:b/>
          <w:bCs/>
        </w:rPr>
      </w:pPr>
    </w:p>
    <w:p w14:paraId="4CCF313E" w14:textId="6CA42B77" w:rsidR="00681B46" w:rsidRPr="001032B6" w:rsidRDefault="001032B6" w:rsidP="00681B46">
      <w:pPr>
        <w:spacing w:before="220" w:after="220"/>
        <w:jc w:val="both"/>
        <w:rPr>
          <w:b/>
          <w:bCs/>
        </w:rPr>
      </w:pPr>
      <w:r w:rsidRPr="001032B6">
        <w:rPr>
          <w:b/>
          <w:bCs/>
        </w:rPr>
        <w:lastRenderedPageBreak/>
        <w:t>3</w:t>
      </w:r>
      <w:r w:rsidR="00681B46" w:rsidRPr="001032B6">
        <w:rPr>
          <w:b/>
          <w:bCs/>
        </w:rPr>
        <w:t>. Client (JPS Health) Retained Strategic Functions (Shared Responsibility Model)</w:t>
      </w:r>
    </w:p>
    <w:p w14:paraId="43A0E3E0" w14:textId="740B01D5" w:rsidR="00681B46" w:rsidRPr="001032B6" w:rsidRDefault="00681B46" w:rsidP="001032B6">
      <w:pPr>
        <w:pStyle w:val="ListParagraph"/>
        <w:numPr>
          <w:ilvl w:val="0"/>
          <w:numId w:val="31"/>
        </w:numPr>
        <w:spacing w:before="220" w:after="220"/>
        <w:jc w:val="both"/>
        <w:rPr>
          <w:bCs/>
        </w:rPr>
      </w:pPr>
      <w:r w:rsidRPr="001032B6">
        <w:rPr>
          <w:bCs/>
        </w:rPr>
        <w:t>JPS Health will retain ownership and make all final strategic decisions for the following functions. The Vendor must clearly define how their operational services will support and adhere to JPS Health's final policies and design choices.</w:t>
      </w:r>
    </w:p>
    <w:p w14:paraId="0E52E5BD" w14:textId="77777777" w:rsidR="00681B46" w:rsidRPr="001032B6" w:rsidRDefault="00681B46" w:rsidP="00681B46">
      <w:pPr>
        <w:spacing w:before="220" w:after="220"/>
        <w:jc w:val="both"/>
        <w:rPr>
          <w:bCs/>
        </w:rPr>
      </w:pPr>
    </w:p>
    <w:tbl>
      <w:tblPr>
        <w:tblStyle w:val="TableGrid"/>
        <w:tblW w:w="9900" w:type="dxa"/>
        <w:tblInd w:w="-95" w:type="dxa"/>
        <w:tblLook w:val="04A0" w:firstRow="1" w:lastRow="0" w:firstColumn="1" w:lastColumn="0" w:noHBand="0" w:noVBand="1"/>
      </w:tblPr>
      <w:tblGrid>
        <w:gridCol w:w="5130"/>
        <w:gridCol w:w="4770"/>
      </w:tblGrid>
      <w:tr w:rsidR="00681B46" w:rsidRPr="001032B6" w14:paraId="00DE5835"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1D444394" w14:textId="77777777" w:rsidR="00681B46" w:rsidRPr="001032B6" w:rsidRDefault="00681B46" w:rsidP="00681B46">
            <w:pPr>
              <w:spacing w:before="220" w:after="220"/>
              <w:jc w:val="both"/>
              <w:rPr>
                <w:b/>
                <w:bCs/>
              </w:rPr>
            </w:pPr>
            <w:r w:rsidRPr="001032B6">
              <w:rPr>
                <w:b/>
                <w:bCs/>
              </w:rPr>
              <w:t>Strategic Function (JPS Owned)</w:t>
            </w:r>
          </w:p>
        </w:tc>
        <w:tc>
          <w:tcPr>
            <w:tcW w:w="4770" w:type="dxa"/>
            <w:tcBorders>
              <w:top w:val="single" w:sz="4" w:space="0" w:color="auto"/>
              <w:left w:val="single" w:sz="4" w:space="0" w:color="auto"/>
              <w:bottom w:val="single" w:sz="4" w:space="0" w:color="auto"/>
              <w:right w:val="single" w:sz="4" w:space="0" w:color="auto"/>
            </w:tcBorders>
            <w:hideMark/>
          </w:tcPr>
          <w:p w14:paraId="5EE135EB" w14:textId="77777777" w:rsidR="00681B46" w:rsidRPr="001032B6" w:rsidRDefault="00681B46" w:rsidP="00681B46">
            <w:pPr>
              <w:spacing w:before="220" w:after="220"/>
              <w:jc w:val="both"/>
              <w:rPr>
                <w:b/>
                <w:bCs/>
              </w:rPr>
            </w:pPr>
            <w:r w:rsidRPr="001032B6">
              <w:rPr>
                <w:b/>
                <w:bCs/>
              </w:rPr>
              <w:t>Vendor Required Role</w:t>
            </w:r>
          </w:p>
        </w:tc>
      </w:tr>
      <w:tr w:rsidR="00681B46" w:rsidRPr="001032B6" w14:paraId="5D1A227D"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6CEAA8F1" w14:textId="77777777" w:rsidR="00681B46" w:rsidRPr="001032B6" w:rsidRDefault="00681B46" w:rsidP="00681B46">
            <w:pPr>
              <w:spacing w:before="220" w:after="220"/>
              <w:jc w:val="both"/>
              <w:rPr>
                <w:bCs/>
              </w:rPr>
            </w:pPr>
            <w:r w:rsidRPr="001032B6">
              <w:rPr>
                <w:bCs/>
              </w:rPr>
              <w:t>Core Cloud Architecture and Design (High-level design, tenancy structure, networking segmentation, foundational architectural choices).</w:t>
            </w:r>
          </w:p>
        </w:tc>
        <w:tc>
          <w:tcPr>
            <w:tcW w:w="4770" w:type="dxa"/>
            <w:tcBorders>
              <w:top w:val="single" w:sz="4" w:space="0" w:color="auto"/>
              <w:left w:val="single" w:sz="4" w:space="0" w:color="auto"/>
              <w:bottom w:val="single" w:sz="4" w:space="0" w:color="auto"/>
              <w:right w:val="single" w:sz="4" w:space="0" w:color="auto"/>
            </w:tcBorders>
            <w:hideMark/>
          </w:tcPr>
          <w:p w14:paraId="01600E88" w14:textId="77777777" w:rsidR="00681B46" w:rsidRPr="001032B6" w:rsidRDefault="00681B46" w:rsidP="00681B46">
            <w:pPr>
              <w:spacing w:before="220" w:after="220"/>
              <w:jc w:val="both"/>
              <w:rPr>
                <w:bCs/>
              </w:rPr>
            </w:pPr>
            <w:r w:rsidRPr="001032B6">
              <w:rPr>
                <w:bCs/>
              </w:rPr>
              <w:t>Mandatory Advisory and Expertise: The Vendor must provide architecture recommendations, technical expertise, and detailed advisory services to inform JPS Health’s strategic design and architecture decisions.</w:t>
            </w:r>
          </w:p>
        </w:tc>
      </w:tr>
      <w:tr w:rsidR="00681B46" w:rsidRPr="001032B6" w14:paraId="19CB5785"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4EAA0042" w14:textId="77777777" w:rsidR="00681B46" w:rsidRPr="001032B6" w:rsidRDefault="00681B46" w:rsidP="00681B46">
            <w:pPr>
              <w:spacing w:before="220" w:after="220"/>
              <w:jc w:val="both"/>
              <w:rPr>
                <w:bCs/>
              </w:rPr>
            </w:pPr>
            <w:r w:rsidRPr="001032B6">
              <w:rPr>
                <w:bCs/>
              </w:rPr>
              <w:t>Overall Security Policy and Governance (Defining compliance standards, data protection posture, and high-level risk tolerance).</w:t>
            </w:r>
          </w:p>
        </w:tc>
        <w:tc>
          <w:tcPr>
            <w:tcW w:w="4770" w:type="dxa"/>
            <w:tcBorders>
              <w:top w:val="single" w:sz="4" w:space="0" w:color="auto"/>
              <w:left w:val="single" w:sz="4" w:space="0" w:color="auto"/>
              <w:bottom w:val="single" w:sz="4" w:space="0" w:color="auto"/>
              <w:right w:val="single" w:sz="4" w:space="0" w:color="auto"/>
            </w:tcBorders>
            <w:hideMark/>
          </w:tcPr>
          <w:p w14:paraId="6AD8CA07" w14:textId="77777777" w:rsidR="00681B46" w:rsidRPr="001032B6" w:rsidRDefault="00681B46" w:rsidP="00681B46">
            <w:pPr>
              <w:spacing w:before="220" w:after="220"/>
              <w:jc w:val="both"/>
              <w:rPr>
                <w:bCs/>
              </w:rPr>
            </w:pPr>
            <w:r w:rsidRPr="001032B6">
              <w:rPr>
                <w:bCs/>
              </w:rPr>
              <w:t>Implementation and maintenance of security controls in alignment with JPS's defined policy.</w:t>
            </w:r>
          </w:p>
        </w:tc>
      </w:tr>
      <w:tr w:rsidR="00681B46" w:rsidRPr="001032B6" w14:paraId="70F5E85C"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28E94F3A" w14:textId="77777777" w:rsidR="00681B46" w:rsidRPr="001032B6" w:rsidRDefault="00681B46" w:rsidP="00681B46">
            <w:pPr>
              <w:spacing w:before="220" w:after="220"/>
              <w:jc w:val="both"/>
              <w:rPr>
                <w:bCs/>
              </w:rPr>
            </w:pPr>
            <w:r w:rsidRPr="001032B6">
              <w:rPr>
                <w:bCs/>
              </w:rPr>
              <w:t>Cost Management Strategy and FinOps Policy (Setting budget boundaries, optimization targets, and FinOps metrics).</w:t>
            </w:r>
          </w:p>
        </w:tc>
        <w:tc>
          <w:tcPr>
            <w:tcW w:w="4770" w:type="dxa"/>
            <w:tcBorders>
              <w:top w:val="single" w:sz="4" w:space="0" w:color="auto"/>
              <w:left w:val="single" w:sz="4" w:space="0" w:color="auto"/>
              <w:bottom w:val="single" w:sz="4" w:space="0" w:color="auto"/>
              <w:right w:val="single" w:sz="4" w:space="0" w:color="auto"/>
            </w:tcBorders>
            <w:hideMark/>
          </w:tcPr>
          <w:p w14:paraId="1991299B" w14:textId="77777777" w:rsidR="00681B46" w:rsidRPr="001032B6" w:rsidRDefault="00681B46" w:rsidP="00681B46">
            <w:pPr>
              <w:spacing w:before="220" w:after="220"/>
              <w:jc w:val="both"/>
              <w:rPr>
                <w:bCs/>
              </w:rPr>
            </w:pPr>
            <w:r w:rsidRPr="001032B6">
              <w:rPr>
                <w:bCs/>
              </w:rPr>
              <w:t>Execute cost optimization activities in alignment with JPS's stated goals and report on performance.</w:t>
            </w:r>
          </w:p>
        </w:tc>
      </w:tr>
      <w:tr w:rsidR="00681B46" w:rsidRPr="001032B6" w14:paraId="75325BA9"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24E01573" w14:textId="77777777" w:rsidR="00681B46" w:rsidRPr="001032B6" w:rsidRDefault="00681B46" w:rsidP="00681B46">
            <w:pPr>
              <w:spacing w:before="220" w:after="220"/>
              <w:jc w:val="both"/>
              <w:rPr>
                <w:bCs/>
              </w:rPr>
            </w:pPr>
            <w:r w:rsidRPr="001032B6">
              <w:rPr>
                <w:bCs/>
              </w:rPr>
              <w:t>Application-Level Support (All Non-infrastructure support, including Epic EHR applications, other business/ecosystem applications).</w:t>
            </w:r>
          </w:p>
        </w:tc>
        <w:tc>
          <w:tcPr>
            <w:tcW w:w="4770" w:type="dxa"/>
            <w:tcBorders>
              <w:top w:val="single" w:sz="4" w:space="0" w:color="auto"/>
              <w:left w:val="single" w:sz="4" w:space="0" w:color="auto"/>
              <w:bottom w:val="single" w:sz="4" w:space="0" w:color="auto"/>
              <w:right w:val="single" w:sz="4" w:space="0" w:color="auto"/>
            </w:tcBorders>
            <w:hideMark/>
          </w:tcPr>
          <w:p w14:paraId="43A3925A" w14:textId="77777777" w:rsidR="00681B46" w:rsidRPr="001032B6" w:rsidRDefault="00681B46" w:rsidP="00681B46">
            <w:pPr>
              <w:spacing w:before="220" w:after="220"/>
              <w:jc w:val="both"/>
              <w:rPr>
                <w:bCs/>
              </w:rPr>
            </w:pPr>
            <w:r w:rsidRPr="001032B6">
              <w:rPr>
                <w:bCs/>
              </w:rPr>
              <w:t>Maintain the underlying cloud infrastructure environment to ensure application performance and availability.</w:t>
            </w:r>
          </w:p>
        </w:tc>
      </w:tr>
      <w:tr w:rsidR="00681B46" w:rsidRPr="001032B6" w14:paraId="2221A8F8" w14:textId="77777777" w:rsidTr="001032B6">
        <w:tc>
          <w:tcPr>
            <w:tcW w:w="5130" w:type="dxa"/>
            <w:tcBorders>
              <w:top w:val="single" w:sz="4" w:space="0" w:color="auto"/>
              <w:left w:val="single" w:sz="4" w:space="0" w:color="auto"/>
              <w:bottom w:val="single" w:sz="4" w:space="0" w:color="auto"/>
              <w:right w:val="single" w:sz="4" w:space="0" w:color="auto"/>
            </w:tcBorders>
            <w:hideMark/>
          </w:tcPr>
          <w:p w14:paraId="27F361D9" w14:textId="77777777" w:rsidR="00681B46" w:rsidRPr="001032B6" w:rsidRDefault="00681B46" w:rsidP="00681B46">
            <w:pPr>
              <w:spacing w:before="220" w:after="220"/>
              <w:jc w:val="both"/>
              <w:rPr>
                <w:bCs/>
              </w:rPr>
            </w:pPr>
            <w:r w:rsidRPr="001032B6">
              <w:rPr>
                <w:bCs/>
              </w:rPr>
              <w:t>End-user Support (Service desk, deskside support, communications, and hands &amp; feet support outside Data Centers).</w:t>
            </w:r>
          </w:p>
        </w:tc>
        <w:tc>
          <w:tcPr>
            <w:tcW w:w="4770" w:type="dxa"/>
            <w:tcBorders>
              <w:top w:val="single" w:sz="4" w:space="0" w:color="auto"/>
              <w:left w:val="single" w:sz="4" w:space="0" w:color="auto"/>
              <w:bottom w:val="single" w:sz="4" w:space="0" w:color="auto"/>
              <w:right w:val="single" w:sz="4" w:space="0" w:color="auto"/>
            </w:tcBorders>
            <w:hideMark/>
          </w:tcPr>
          <w:p w14:paraId="3EFD9A9F" w14:textId="77777777" w:rsidR="00681B46" w:rsidRPr="001032B6" w:rsidRDefault="00681B46" w:rsidP="00681B46">
            <w:pPr>
              <w:spacing w:before="220" w:after="220"/>
              <w:jc w:val="both"/>
              <w:rPr>
                <w:bCs/>
              </w:rPr>
            </w:pPr>
            <w:r w:rsidRPr="001032B6">
              <w:rPr>
                <w:bCs/>
              </w:rPr>
              <w:t xml:space="preserve">Provide L1-L3 infrastructure support only, escalating non-infrastructure and end-user issues to </w:t>
            </w:r>
            <w:proofErr w:type="gramStart"/>
            <w:r w:rsidRPr="001032B6">
              <w:rPr>
                <w:bCs/>
              </w:rPr>
              <w:t>JPS’s  Tier</w:t>
            </w:r>
            <w:proofErr w:type="gramEnd"/>
            <w:r w:rsidRPr="001032B6">
              <w:rPr>
                <w:bCs/>
              </w:rPr>
              <w:t xml:space="preserve"> 1 Help Desk.</w:t>
            </w:r>
          </w:p>
        </w:tc>
      </w:tr>
    </w:tbl>
    <w:p w14:paraId="005BF875" w14:textId="77777777" w:rsidR="00681B46" w:rsidRPr="001032B6" w:rsidRDefault="00681B46" w:rsidP="00681B46">
      <w:pPr>
        <w:spacing w:before="220" w:after="220"/>
        <w:jc w:val="both"/>
        <w:rPr>
          <w:bCs/>
        </w:rPr>
      </w:pPr>
    </w:p>
    <w:p w14:paraId="6357431E" w14:textId="77777777" w:rsidR="00681B46" w:rsidRPr="001032B6" w:rsidRDefault="00681B46" w:rsidP="00681B46">
      <w:pPr>
        <w:spacing w:before="220" w:after="220"/>
        <w:jc w:val="both"/>
        <w:rPr>
          <w:b/>
          <w:bCs/>
        </w:rPr>
      </w:pPr>
    </w:p>
    <w:p w14:paraId="25B6D2F5" w14:textId="77777777" w:rsidR="00681B46" w:rsidRPr="001032B6" w:rsidRDefault="00681B46" w:rsidP="00681B46">
      <w:pPr>
        <w:spacing w:before="220" w:after="220"/>
        <w:jc w:val="both"/>
        <w:rPr>
          <w:b/>
          <w:bCs/>
        </w:rPr>
      </w:pPr>
    </w:p>
    <w:p w14:paraId="71C7C8EF" w14:textId="77777777" w:rsidR="00681B46" w:rsidRPr="001032B6" w:rsidRDefault="00681B46" w:rsidP="00681B46">
      <w:pPr>
        <w:spacing w:before="220" w:after="220"/>
        <w:jc w:val="both"/>
        <w:rPr>
          <w:b/>
          <w:bCs/>
        </w:rPr>
      </w:pPr>
    </w:p>
    <w:p w14:paraId="1874610D" w14:textId="77777777" w:rsidR="00681B46" w:rsidRPr="001032B6" w:rsidRDefault="00681B46" w:rsidP="00681B46">
      <w:pPr>
        <w:spacing w:before="220" w:after="220"/>
        <w:jc w:val="both"/>
        <w:rPr>
          <w:b/>
          <w:bCs/>
        </w:rPr>
      </w:pPr>
    </w:p>
    <w:p w14:paraId="43BBFCAD" w14:textId="77777777" w:rsidR="00681B46" w:rsidRPr="001032B6" w:rsidRDefault="00681B46" w:rsidP="00681B46">
      <w:pPr>
        <w:spacing w:before="220" w:after="220"/>
        <w:jc w:val="both"/>
        <w:rPr>
          <w:b/>
          <w:bCs/>
        </w:rPr>
      </w:pPr>
    </w:p>
    <w:p w14:paraId="1DD9413B" w14:textId="77777777" w:rsidR="00681B46" w:rsidRPr="001032B6" w:rsidRDefault="00681B46" w:rsidP="00681B46">
      <w:pPr>
        <w:spacing w:before="220" w:after="220"/>
        <w:jc w:val="both"/>
        <w:rPr>
          <w:b/>
          <w:bCs/>
        </w:rPr>
      </w:pPr>
    </w:p>
    <w:p w14:paraId="32A839BE" w14:textId="77777777" w:rsidR="00681B46" w:rsidRPr="001032B6" w:rsidRDefault="00681B46" w:rsidP="00681B46">
      <w:pPr>
        <w:spacing w:before="220" w:after="220"/>
        <w:jc w:val="both"/>
        <w:rPr>
          <w:b/>
          <w:bCs/>
        </w:rPr>
      </w:pPr>
    </w:p>
    <w:p w14:paraId="7ABC0889" w14:textId="77777777" w:rsidR="00681B46" w:rsidRPr="001032B6" w:rsidRDefault="00681B46" w:rsidP="00681B46">
      <w:pPr>
        <w:spacing w:before="220" w:after="220"/>
        <w:jc w:val="both"/>
        <w:rPr>
          <w:b/>
          <w:bCs/>
        </w:rPr>
      </w:pPr>
    </w:p>
    <w:p w14:paraId="1AA059CC" w14:textId="487151D3" w:rsidR="00681B46" w:rsidRPr="001032B6" w:rsidRDefault="001032B6" w:rsidP="00681B46">
      <w:pPr>
        <w:spacing w:before="220" w:after="220"/>
        <w:jc w:val="both"/>
        <w:rPr>
          <w:b/>
          <w:bCs/>
        </w:rPr>
      </w:pPr>
      <w:r w:rsidRPr="001032B6">
        <w:rPr>
          <w:b/>
          <w:bCs/>
        </w:rPr>
        <w:t>4</w:t>
      </w:r>
      <w:r w:rsidR="00681B46" w:rsidRPr="001032B6">
        <w:rPr>
          <w:b/>
          <w:bCs/>
        </w:rPr>
        <w:t>. Volumetric Scoping Table:</w:t>
      </w:r>
    </w:p>
    <w:p w14:paraId="14A19B7D" w14:textId="77777777" w:rsidR="00681B46" w:rsidRPr="001032B6" w:rsidRDefault="00681B46" w:rsidP="00681B46">
      <w:pPr>
        <w:spacing w:before="220" w:after="220"/>
        <w:jc w:val="both"/>
        <w:rPr>
          <w:bCs/>
        </w:rPr>
      </w:pPr>
    </w:p>
    <w:tbl>
      <w:tblPr>
        <w:tblStyle w:val="TableGrid"/>
        <w:tblW w:w="0" w:type="auto"/>
        <w:tblInd w:w="715" w:type="dxa"/>
        <w:tblLook w:val="04A0" w:firstRow="1" w:lastRow="0" w:firstColumn="1" w:lastColumn="0" w:noHBand="0" w:noVBand="1"/>
      </w:tblPr>
      <w:tblGrid>
        <w:gridCol w:w="540"/>
        <w:gridCol w:w="2439"/>
        <w:gridCol w:w="1411"/>
        <w:gridCol w:w="1411"/>
        <w:gridCol w:w="2834"/>
      </w:tblGrid>
      <w:tr w:rsidR="00681B46" w:rsidRPr="001032B6" w14:paraId="3FA80088" w14:textId="77777777">
        <w:tc>
          <w:tcPr>
            <w:tcW w:w="526" w:type="dxa"/>
            <w:tcBorders>
              <w:top w:val="single" w:sz="4" w:space="0" w:color="auto"/>
              <w:left w:val="single" w:sz="4" w:space="0" w:color="auto"/>
              <w:bottom w:val="single" w:sz="4" w:space="0" w:color="auto"/>
              <w:right w:val="single" w:sz="4" w:space="0" w:color="auto"/>
            </w:tcBorders>
            <w:hideMark/>
          </w:tcPr>
          <w:p w14:paraId="16D6BC9D" w14:textId="77777777" w:rsidR="00681B46" w:rsidRPr="001032B6" w:rsidRDefault="00681B46" w:rsidP="00681B46">
            <w:pPr>
              <w:spacing w:before="220" w:after="220"/>
              <w:jc w:val="both"/>
              <w:rPr>
                <w:b/>
                <w:bCs/>
              </w:rPr>
            </w:pPr>
            <w:r w:rsidRPr="001032B6">
              <w:rPr>
                <w:b/>
                <w:bCs/>
              </w:rPr>
              <w:t>No.</w:t>
            </w:r>
          </w:p>
        </w:tc>
        <w:tc>
          <w:tcPr>
            <w:tcW w:w="2444" w:type="dxa"/>
            <w:tcBorders>
              <w:top w:val="single" w:sz="4" w:space="0" w:color="auto"/>
              <w:left w:val="single" w:sz="4" w:space="0" w:color="auto"/>
              <w:bottom w:val="single" w:sz="4" w:space="0" w:color="auto"/>
              <w:right w:val="single" w:sz="4" w:space="0" w:color="auto"/>
            </w:tcBorders>
            <w:hideMark/>
          </w:tcPr>
          <w:p w14:paraId="470EA156" w14:textId="77777777" w:rsidR="00681B46" w:rsidRPr="001032B6" w:rsidRDefault="00681B46" w:rsidP="00681B46">
            <w:pPr>
              <w:spacing w:before="220" w:after="220"/>
              <w:jc w:val="both"/>
              <w:rPr>
                <w:b/>
                <w:bCs/>
              </w:rPr>
            </w:pPr>
            <w:r w:rsidRPr="001032B6">
              <w:rPr>
                <w:b/>
                <w:bCs/>
              </w:rPr>
              <w:t>Service Element</w:t>
            </w:r>
          </w:p>
        </w:tc>
        <w:tc>
          <w:tcPr>
            <w:tcW w:w="1412" w:type="dxa"/>
            <w:tcBorders>
              <w:top w:val="single" w:sz="4" w:space="0" w:color="auto"/>
              <w:left w:val="single" w:sz="4" w:space="0" w:color="auto"/>
              <w:bottom w:val="single" w:sz="4" w:space="0" w:color="auto"/>
              <w:right w:val="single" w:sz="4" w:space="0" w:color="auto"/>
            </w:tcBorders>
            <w:hideMark/>
          </w:tcPr>
          <w:p w14:paraId="175032F7" w14:textId="77777777" w:rsidR="00681B46" w:rsidRPr="001032B6" w:rsidRDefault="00681B46" w:rsidP="00681B46">
            <w:pPr>
              <w:spacing w:before="220" w:after="220"/>
              <w:jc w:val="both"/>
              <w:rPr>
                <w:b/>
                <w:bCs/>
              </w:rPr>
            </w:pPr>
            <w:r w:rsidRPr="001032B6">
              <w:rPr>
                <w:b/>
                <w:bCs/>
              </w:rPr>
              <w:t>Azure</w:t>
            </w:r>
          </w:p>
          <w:p w14:paraId="7ABFF595" w14:textId="77777777" w:rsidR="00681B46" w:rsidRPr="001032B6" w:rsidRDefault="00681B46" w:rsidP="00681B46">
            <w:pPr>
              <w:spacing w:before="220" w:after="220"/>
              <w:jc w:val="both"/>
              <w:rPr>
                <w:b/>
                <w:bCs/>
              </w:rPr>
            </w:pPr>
            <w:r w:rsidRPr="001032B6">
              <w:rPr>
                <w:b/>
                <w:bCs/>
              </w:rPr>
              <w:t>Count</w:t>
            </w:r>
          </w:p>
        </w:tc>
        <w:tc>
          <w:tcPr>
            <w:tcW w:w="1412" w:type="dxa"/>
            <w:tcBorders>
              <w:top w:val="single" w:sz="4" w:space="0" w:color="auto"/>
              <w:left w:val="single" w:sz="4" w:space="0" w:color="auto"/>
              <w:bottom w:val="single" w:sz="4" w:space="0" w:color="auto"/>
              <w:right w:val="single" w:sz="4" w:space="0" w:color="auto"/>
            </w:tcBorders>
            <w:hideMark/>
          </w:tcPr>
          <w:p w14:paraId="313D5CC0" w14:textId="77777777" w:rsidR="00681B46" w:rsidRPr="001032B6" w:rsidRDefault="00681B46" w:rsidP="00681B46">
            <w:pPr>
              <w:spacing w:before="220" w:after="220"/>
              <w:jc w:val="both"/>
              <w:rPr>
                <w:b/>
                <w:bCs/>
              </w:rPr>
            </w:pPr>
            <w:r w:rsidRPr="001032B6">
              <w:rPr>
                <w:b/>
                <w:bCs/>
              </w:rPr>
              <w:t>On Premise Count</w:t>
            </w:r>
          </w:p>
        </w:tc>
        <w:tc>
          <w:tcPr>
            <w:tcW w:w="2841" w:type="dxa"/>
            <w:tcBorders>
              <w:top w:val="single" w:sz="4" w:space="0" w:color="auto"/>
              <w:left w:val="single" w:sz="4" w:space="0" w:color="auto"/>
              <w:bottom w:val="single" w:sz="4" w:space="0" w:color="auto"/>
              <w:right w:val="single" w:sz="4" w:space="0" w:color="auto"/>
            </w:tcBorders>
            <w:hideMark/>
          </w:tcPr>
          <w:p w14:paraId="1A1C02E6" w14:textId="77777777" w:rsidR="00681B46" w:rsidRPr="001032B6" w:rsidRDefault="00681B46" w:rsidP="00681B46">
            <w:pPr>
              <w:spacing w:before="220" w:after="220"/>
              <w:jc w:val="both"/>
              <w:rPr>
                <w:b/>
                <w:bCs/>
              </w:rPr>
            </w:pPr>
            <w:r w:rsidRPr="001032B6">
              <w:rPr>
                <w:b/>
                <w:bCs/>
              </w:rPr>
              <w:t>Remarks</w:t>
            </w:r>
          </w:p>
        </w:tc>
      </w:tr>
      <w:tr w:rsidR="00681B46" w:rsidRPr="001032B6" w14:paraId="1D365EB7" w14:textId="77777777">
        <w:tc>
          <w:tcPr>
            <w:tcW w:w="526" w:type="dxa"/>
            <w:tcBorders>
              <w:top w:val="single" w:sz="4" w:space="0" w:color="auto"/>
              <w:left w:val="single" w:sz="4" w:space="0" w:color="auto"/>
              <w:bottom w:val="single" w:sz="4" w:space="0" w:color="auto"/>
              <w:right w:val="single" w:sz="4" w:space="0" w:color="auto"/>
            </w:tcBorders>
            <w:hideMark/>
          </w:tcPr>
          <w:p w14:paraId="2B29261E" w14:textId="77777777" w:rsidR="00681B46" w:rsidRPr="001032B6" w:rsidRDefault="00681B46" w:rsidP="00681B46">
            <w:pPr>
              <w:spacing w:before="220" w:after="220"/>
              <w:jc w:val="both"/>
              <w:rPr>
                <w:bCs/>
              </w:rPr>
            </w:pPr>
            <w:r w:rsidRPr="001032B6">
              <w:rPr>
                <w:bCs/>
              </w:rPr>
              <w:t>1</w:t>
            </w:r>
          </w:p>
        </w:tc>
        <w:tc>
          <w:tcPr>
            <w:tcW w:w="2444" w:type="dxa"/>
            <w:tcBorders>
              <w:top w:val="single" w:sz="4" w:space="0" w:color="auto"/>
              <w:left w:val="single" w:sz="4" w:space="0" w:color="auto"/>
              <w:bottom w:val="single" w:sz="4" w:space="0" w:color="auto"/>
              <w:right w:val="single" w:sz="4" w:space="0" w:color="auto"/>
            </w:tcBorders>
            <w:hideMark/>
          </w:tcPr>
          <w:p w14:paraId="64A81607" w14:textId="77777777" w:rsidR="00681B46" w:rsidRPr="001032B6" w:rsidRDefault="00681B46" w:rsidP="00681B46">
            <w:pPr>
              <w:spacing w:before="220" w:after="220"/>
              <w:jc w:val="both"/>
              <w:rPr>
                <w:bCs/>
              </w:rPr>
            </w:pPr>
            <w:r w:rsidRPr="001032B6">
              <w:rPr>
                <w:bCs/>
              </w:rPr>
              <w:t>Compute – Windows 2019 and above</w:t>
            </w:r>
          </w:p>
        </w:tc>
        <w:tc>
          <w:tcPr>
            <w:tcW w:w="1412" w:type="dxa"/>
            <w:tcBorders>
              <w:top w:val="single" w:sz="4" w:space="0" w:color="auto"/>
              <w:left w:val="single" w:sz="4" w:space="0" w:color="auto"/>
              <w:bottom w:val="single" w:sz="4" w:space="0" w:color="auto"/>
              <w:right w:val="single" w:sz="4" w:space="0" w:color="auto"/>
            </w:tcBorders>
            <w:hideMark/>
          </w:tcPr>
          <w:p w14:paraId="1F61EF2D" w14:textId="77777777" w:rsidR="00681B46" w:rsidRPr="001032B6" w:rsidRDefault="00681B46" w:rsidP="00681B46">
            <w:pPr>
              <w:spacing w:before="220" w:after="220"/>
              <w:jc w:val="both"/>
              <w:rPr>
                <w:bCs/>
              </w:rPr>
            </w:pPr>
            <w:r w:rsidRPr="001032B6">
              <w:rPr>
                <w:bCs/>
              </w:rPr>
              <w:t>900</w:t>
            </w:r>
          </w:p>
        </w:tc>
        <w:tc>
          <w:tcPr>
            <w:tcW w:w="1412" w:type="dxa"/>
            <w:tcBorders>
              <w:top w:val="single" w:sz="4" w:space="0" w:color="auto"/>
              <w:left w:val="single" w:sz="4" w:space="0" w:color="auto"/>
              <w:bottom w:val="single" w:sz="4" w:space="0" w:color="auto"/>
              <w:right w:val="single" w:sz="4" w:space="0" w:color="auto"/>
            </w:tcBorders>
            <w:hideMark/>
          </w:tcPr>
          <w:p w14:paraId="0B2142A7" w14:textId="77777777" w:rsidR="00681B46" w:rsidRPr="001032B6" w:rsidRDefault="00681B46" w:rsidP="00681B46">
            <w:pPr>
              <w:spacing w:before="220" w:after="220"/>
              <w:jc w:val="both"/>
              <w:rPr>
                <w:bCs/>
              </w:rPr>
            </w:pPr>
            <w:r w:rsidRPr="001032B6">
              <w:rPr>
                <w:bCs/>
              </w:rPr>
              <w:t>2000</w:t>
            </w:r>
          </w:p>
        </w:tc>
        <w:tc>
          <w:tcPr>
            <w:tcW w:w="2841" w:type="dxa"/>
            <w:tcBorders>
              <w:top w:val="single" w:sz="4" w:space="0" w:color="auto"/>
              <w:left w:val="single" w:sz="4" w:space="0" w:color="auto"/>
              <w:bottom w:val="single" w:sz="4" w:space="0" w:color="auto"/>
              <w:right w:val="single" w:sz="4" w:space="0" w:color="auto"/>
            </w:tcBorders>
            <w:hideMark/>
          </w:tcPr>
          <w:p w14:paraId="1606C814" w14:textId="77777777" w:rsidR="00681B46" w:rsidRPr="001032B6" w:rsidRDefault="00681B46" w:rsidP="00681B46">
            <w:pPr>
              <w:spacing w:before="220" w:after="220"/>
              <w:jc w:val="both"/>
              <w:rPr>
                <w:bCs/>
              </w:rPr>
            </w:pPr>
            <w:r w:rsidRPr="001032B6">
              <w:rPr>
                <w:bCs/>
              </w:rPr>
              <w:t>On premise instances will be moved to Azure in Year 2 and 3</w:t>
            </w:r>
          </w:p>
        </w:tc>
      </w:tr>
      <w:tr w:rsidR="00681B46" w:rsidRPr="001032B6" w14:paraId="37DE0CFD" w14:textId="77777777">
        <w:tc>
          <w:tcPr>
            <w:tcW w:w="526" w:type="dxa"/>
            <w:tcBorders>
              <w:top w:val="single" w:sz="4" w:space="0" w:color="auto"/>
              <w:left w:val="single" w:sz="4" w:space="0" w:color="auto"/>
              <w:bottom w:val="single" w:sz="4" w:space="0" w:color="auto"/>
              <w:right w:val="single" w:sz="4" w:space="0" w:color="auto"/>
            </w:tcBorders>
            <w:hideMark/>
          </w:tcPr>
          <w:p w14:paraId="49DC55D7" w14:textId="77777777" w:rsidR="00681B46" w:rsidRPr="001032B6" w:rsidRDefault="00681B46" w:rsidP="00681B46">
            <w:pPr>
              <w:spacing w:before="220" w:after="220"/>
              <w:jc w:val="both"/>
              <w:rPr>
                <w:bCs/>
              </w:rPr>
            </w:pPr>
            <w:r w:rsidRPr="001032B6">
              <w:rPr>
                <w:bCs/>
              </w:rPr>
              <w:t>2</w:t>
            </w:r>
          </w:p>
        </w:tc>
        <w:tc>
          <w:tcPr>
            <w:tcW w:w="2444" w:type="dxa"/>
            <w:tcBorders>
              <w:top w:val="single" w:sz="4" w:space="0" w:color="auto"/>
              <w:left w:val="single" w:sz="4" w:space="0" w:color="auto"/>
              <w:bottom w:val="single" w:sz="4" w:space="0" w:color="auto"/>
              <w:right w:val="single" w:sz="4" w:space="0" w:color="auto"/>
            </w:tcBorders>
            <w:hideMark/>
          </w:tcPr>
          <w:p w14:paraId="24D5FE43" w14:textId="77777777" w:rsidR="00681B46" w:rsidRPr="001032B6" w:rsidRDefault="00681B46" w:rsidP="00681B46">
            <w:pPr>
              <w:spacing w:before="220" w:after="220"/>
              <w:jc w:val="both"/>
              <w:rPr>
                <w:bCs/>
              </w:rPr>
            </w:pPr>
            <w:r w:rsidRPr="001032B6">
              <w:rPr>
                <w:bCs/>
              </w:rPr>
              <w:t>Compute – Linux</w:t>
            </w:r>
          </w:p>
        </w:tc>
        <w:tc>
          <w:tcPr>
            <w:tcW w:w="1412" w:type="dxa"/>
            <w:tcBorders>
              <w:top w:val="single" w:sz="4" w:space="0" w:color="auto"/>
              <w:left w:val="single" w:sz="4" w:space="0" w:color="auto"/>
              <w:bottom w:val="single" w:sz="4" w:space="0" w:color="auto"/>
              <w:right w:val="single" w:sz="4" w:space="0" w:color="auto"/>
            </w:tcBorders>
            <w:hideMark/>
          </w:tcPr>
          <w:p w14:paraId="40880C0F" w14:textId="77777777" w:rsidR="00681B46" w:rsidRPr="001032B6" w:rsidRDefault="00681B46" w:rsidP="00681B46">
            <w:pPr>
              <w:spacing w:before="220" w:after="220"/>
              <w:jc w:val="both"/>
              <w:rPr>
                <w:bCs/>
              </w:rPr>
            </w:pPr>
            <w:r w:rsidRPr="001032B6">
              <w:rPr>
                <w:bCs/>
              </w:rPr>
              <w:t>50</w:t>
            </w:r>
          </w:p>
        </w:tc>
        <w:tc>
          <w:tcPr>
            <w:tcW w:w="1412" w:type="dxa"/>
            <w:tcBorders>
              <w:top w:val="single" w:sz="4" w:space="0" w:color="auto"/>
              <w:left w:val="single" w:sz="4" w:space="0" w:color="auto"/>
              <w:bottom w:val="single" w:sz="4" w:space="0" w:color="auto"/>
              <w:right w:val="single" w:sz="4" w:space="0" w:color="auto"/>
            </w:tcBorders>
            <w:hideMark/>
          </w:tcPr>
          <w:p w14:paraId="3E436C5F" w14:textId="77777777" w:rsidR="00681B46" w:rsidRPr="001032B6" w:rsidRDefault="00681B46" w:rsidP="00681B46">
            <w:pPr>
              <w:spacing w:before="220" w:after="220"/>
              <w:jc w:val="both"/>
              <w:rPr>
                <w:bCs/>
              </w:rPr>
            </w:pPr>
            <w:r w:rsidRPr="001032B6">
              <w:rPr>
                <w:bCs/>
              </w:rPr>
              <w:t>100</w:t>
            </w:r>
          </w:p>
        </w:tc>
        <w:tc>
          <w:tcPr>
            <w:tcW w:w="2841" w:type="dxa"/>
            <w:tcBorders>
              <w:top w:val="single" w:sz="4" w:space="0" w:color="auto"/>
              <w:left w:val="single" w:sz="4" w:space="0" w:color="auto"/>
              <w:bottom w:val="single" w:sz="4" w:space="0" w:color="auto"/>
              <w:right w:val="single" w:sz="4" w:space="0" w:color="auto"/>
            </w:tcBorders>
            <w:hideMark/>
          </w:tcPr>
          <w:p w14:paraId="3BA158F2" w14:textId="77777777" w:rsidR="00681B46" w:rsidRPr="001032B6" w:rsidRDefault="00681B46" w:rsidP="00681B46">
            <w:pPr>
              <w:spacing w:before="220" w:after="220"/>
              <w:jc w:val="both"/>
              <w:rPr>
                <w:bCs/>
              </w:rPr>
            </w:pPr>
            <w:r w:rsidRPr="001032B6">
              <w:rPr>
                <w:bCs/>
              </w:rPr>
              <w:t>On premise instances will be moved to Azure in Year 2 and 3</w:t>
            </w:r>
          </w:p>
        </w:tc>
      </w:tr>
      <w:tr w:rsidR="00681B46" w:rsidRPr="001032B6" w14:paraId="6AF92605" w14:textId="77777777">
        <w:tc>
          <w:tcPr>
            <w:tcW w:w="526" w:type="dxa"/>
            <w:tcBorders>
              <w:top w:val="single" w:sz="4" w:space="0" w:color="auto"/>
              <w:left w:val="single" w:sz="4" w:space="0" w:color="auto"/>
              <w:bottom w:val="single" w:sz="4" w:space="0" w:color="auto"/>
              <w:right w:val="single" w:sz="4" w:space="0" w:color="auto"/>
            </w:tcBorders>
            <w:hideMark/>
          </w:tcPr>
          <w:p w14:paraId="5CA50DEA" w14:textId="77777777" w:rsidR="00681B46" w:rsidRPr="001032B6" w:rsidRDefault="00681B46" w:rsidP="00681B46">
            <w:pPr>
              <w:spacing w:before="220" w:after="220"/>
              <w:jc w:val="both"/>
              <w:rPr>
                <w:bCs/>
              </w:rPr>
            </w:pPr>
            <w:r w:rsidRPr="001032B6">
              <w:rPr>
                <w:bCs/>
              </w:rPr>
              <w:t>3</w:t>
            </w:r>
          </w:p>
        </w:tc>
        <w:tc>
          <w:tcPr>
            <w:tcW w:w="2444" w:type="dxa"/>
            <w:tcBorders>
              <w:top w:val="single" w:sz="4" w:space="0" w:color="auto"/>
              <w:left w:val="single" w:sz="4" w:space="0" w:color="auto"/>
              <w:bottom w:val="single" w:sz="4" w:space="0" w:color="auto"/>
              <w:right w:val="single" w:sz="4" w:space="0" w:color="auto"/>
            </w:tcBorders>
            <w:hideMark/>
          </w:tcPr>
          <w:p w14:paraId="4313B934" w14:textId="77777777" w:rsidR="00681B46" w:rsidRPr="001032B6" w:rsidRDefault="00681B46" w:rsidP="00681B46">
            <w:pPr>
              <w:spacing w:before="220" w:after="220"/>
              <w:jc w:val="both"/>
              <w:rPr>
                <w:bCs/>
              </w:rPr>
            </w:pPr>
            <w:r w:rsidRPr="001032B6">
              <w:rPr>
                <w:bCs/>
              </w:rPr>
              <w:t>VMware Hypervisors</w:t>
            </w:r>
          </w:p>
        </w:tc>
        <w:tc>
          <w:tcPr>
            <w:tcW w:w="1412" w:type="dxa"/>
            <w:tcBorders>
              <w:top w:val="single" w:sz="4" w:space="0" w:color="auto"/>
              <w:left w:val="single" w:sz="4" w:space="0" w:color="auto"/>
              <w:bottom w:val="single" w:sz="4" w:space="0" w:color="auto"/>
              <w:right w:val="single" w:sz="4" w:space="0" w:color="auto"/>
            </w:tcBorders>
          </w:tcPr>
          <w:p w14:paraId="66B4C8A5"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40824A18" w14:textId="77777777" w:rsidR="00681B46" w:rsidRPr="001032B6" w:rsidRDefault="00681B46" w:rsidP="00681B46">
            <w:pPr>
              <w:spacing w:before="220" w:after="220"/>
              <w:jc w:val="both"/>
              <w:rPr>
                <w:bCs/>
              </w:rPr>
            </w:pPr>
            <w:r w:rsidRPr="001032B6">
              <w:rPr>
                <w:bCs/>
              </w:rPr>
              <w:t>75</w:t>
            </w:r>
          </w:p>
        </w:tc>
        <w:tc>
          <w:tcPr>
            <w:tcW w:w="2841" w:type="dxa"/>
            <w:tcBorders>
              <w:top w:val="single" w:sz="4" w:space="0" w:color="auto"/>
              <w:left w:val="single" w:sz="4" w:space="0" w:color="auto"/>
              <w:bottom w:val="single" w:sz="4" w:space="0" w:color="auto"/>
              <w:right w:val="single" w:sz="4" w:space="0" w:color="auto"/>
            </w:tcBorders>
            <w:hideMark/>
          </w:tcPr>
          <w:p w14:paraId="616140A0" w14:textId="77777777" w:rsidR="00681B46" w:rsidRPr="001032B6" w:rsidRDefault="00681B46" w:rsidP="00681B46">
            <w:pPr>
              <w:spacing w:before="220" w:after="220"/>
              <w:jc w:val="both"/>
              <w:rPr>
                <w:bCs/>
              </w:rPr>
            </w:pPr>
            <w:r w:rsidRPr="001032B6">
              <w:rPr>
                <w:bCs/>
              </w:rPr>
              <w:t xml:space="preserve">No </w:t>
            </w:r>
            <w:proofErr w:type="spellStart"/>
            <w:r w:rsidRPr="001032B6">
              <w:rPr>
                <w:bCs/>
              </w:rPr>
              <w:t>Vmware</w:t>
            </w:r>
            <w:proofErr w:type="spellEnd"/>
            <w:r w:rsidRPr="001032B6">
              <w:rPr>
                <w:bCs/>
              </w:rPr>
              <w:t xml:space="preserve"> on Azure</w:t>
            </w:r>
          </w:p>
        </w:tc>
      </w:tr>
      <w:tr w:rsidR="00681B46" w:rsidRPr="001032B6" w14:paraId="1A27B83D" w14:textId="77777777">
        <w:tc>
          <w:tcPr>
            <w:tcW w:w="526" w:type="dxa"/>
            <w:tcBorders>
              <w:top w:val="single" w:sz="4" w:space="0" w:color="auto"/>
              <w:left w:val="single" w:sz="4" w:space="0" w:color="auto"/>
              <w:bottom w:val="single" w:sz="4" w:space="0" w:color="auto"/>
              <w:right w:val="single" w:sz="4" w:space="0" w:color="auto"/>
            </w:tcBorders>
            <w:hideMark/>
          </w:tcPr>
          <w:p w14:paraId="73347D3B" w14:textId="77777777" w:rsidR="00681B46" w:rsidRPr="001032B6" w:rsidRDefault="00681B46" w:rsidP="00681B46">
            <w:pPr>
              <w:spacing w:before="220" w:after="220"/>
              <w:jc w:val="both"/>
              <w:rPr>
                <w:bCs/>
              </w:rPr>
            </w:pPr>
            <w:r w:rsidRPr="001032B6">
              <w:rPr>
                <w:bCs/>
              </w:rPr>
              <w:t>4</w:t>
            </w:r>
          </w:p>
        </w:tc>
        <w:tc>
          <w:tcPr>
            <w:tcW w:w="2444" w:type="dxa"/>
            <w:tcBorders>
              <w:top w:val="single" w:sz="4" w:space="0" w:color="auto"/>
              <w:left w:val="single" w:sz="4" w:space="0" w:color="auto"/>
              <w:bottom w:val="single" w:sz="4" w:space="0" w:color="auto"/>
              <w:right w:val="single" w:sz="4" w:space="0" w:color="auto"/>
            </w:tcBorders>
            <w:hideMark/>
          </w:tcPr>
          <w:p w14:paraId="3FB54488" w14:textId="77777777" w:rsidR="00681B46" w:rsidRPr="001032B6" w:rsidRDefault="00681B46" w:rsidP="00681B46">
            <w:pPr>
              <w:spacing w:before="220" w:after="220"/>
              <w:jc w:val="both"/>
              <w:rPr>
                <w:bCs/>
              </w:rPr>
            </w:pPr>
            <w:r w:rsidRPr="001032B6">
              <w:rPr>
                <w:bCs/>
              </w:rPr>
              <w:t xml:space="preserve">Storage </w:t>
            </w:r>
          </w:p>
        </w:tc>
        <w:tc>
          <w:tcPr>
            <w:tcW w:w="1412" w:type="dxa"/>
            <w:tcBorders>
              <w:top w:val="single" w:sz="4" w:space="0" w:color="auto"/>
              <w:left w:val="single" w:sz="4" w:space="0" w:color="auto"/>
              <w:bottom w:val="single" w:sz="4" w:space="0" w:color="auto"/>
              <w:right w:val="single" w:sz="4" w:space="0" w:color="auto"/>
            </w:tcBorders>
            <w:hideMark/>
          </w:tcPr>
          <w:p w14:paraId="2812F83D" w14:textId="77777777" w:rsidR="00681B46" w:rsidRPr="001032B6" w:rsidRDefault="00681B46" w:rsidP="00681B46">
            <w:pPr>
              <w:spacing w:before="220" w:after="220"/>
              <w:jc w:val="both"/>
              <w:rPr>
                <w:bCs/>
              </w:rPr>
            </w:pPr>
            <w:r w:rsidRPr="001032B6">
              <w:rPr>
                <w:bCs/>
              </w:rPr>
              <w:t>2 PB</w:t>
            </w:r>
          </w:p>
        </w:tc>
        <w:tc>
          <w:tcPr>
            <w:tcW w:w="1412" w:type="dxa"/>
            <w:tcBorders>
              <w:top w:val="single" w:sz="4" w:space="0" w:color="auto"/>
              <w:left w:val="single" w:sz="4" w:space="0" w:color="auto"/>
              <w:bottom w:val="single" w:sz="4" w:space="0" w:color="auto"/>
              <w:right w:val="single" w:sz="4" w:space="0" w:color="auto"/>
            </w:tcBorders>
            <w:hideMark/>
          </w:tcPr>
          <w:p w14:paraId="7ACA0609" w14:textId="77777777" w:rsidR="00681B46" w:rsidRPr="001032B6" w:rsidRDefault="00681B46" w:rsidP="00681B46">
            <w:pPr>
              <w:spacing w:before="220" w:after="220"/>
              <w:jc w:val="both"/>
              <w:rPr>
                <w:bCs/>
              </w:rPr>
            </w:pPr>
            <w:r w:rsidRPr="001032B6">
              <w:rPr>
                <w:bCs/>
              </w:rPr>
              <w:t>25PB</w:t>
            </w:r>
          </w:p>
        </w:tc>
        <w:tc>
          <w:tcPr>
            <w:tcW w:w="2841" w:type="dxa"/>
            <w:tcBorders>
              <w:top w:val="single" w:sz="4" w:space="0" w:color="auto"/>
              <w:left w:val="single" w:sz="4" w:space="0" w:color="auto"/>
              <w:bottom w:val="single" w:sz="4" w:space="0" w:color="auto"/>
              <w:right w:val="single" w:sz="4" w:space="0" w:color="auto"/>
            </w:tcBorders>
            <w:hideMark/>
          </w:tcPr>
          <w:p w14:paraId="33568B38" w14:textId="77777777" w:rsidR="00681B46" w:rsidRPr="001032B6" w:rsidRDefault="00681B46" w:rsidP="00681B46">
            <w:pPr>
              <w:spacing w:before="220" w:after="220"/>
              <w:jc w:val="both"/>
              <w:rPr>
                <w:bCs/>
              </w:rPr>
            </w:pPr>
            <w:r w:rsidRPr="001032B6">
              <w:rPr>
                <w:bCs/>
              </w:rPr>
              <w:t xml:space="preserve">Some of </w:t>
            </w:r>
            <w:proofErr w:type="gramStart"/>
            <w:r w:rsidRPr="001032B6">
              <w:rPr>
                <w:bCs/>
              </w:rPr>
              <w:t>on premise</w:t>
            </w:r>
            <w:proofErr w:type="gramEnd"/>
            <w:r w:rsidRPr="001032B6">
              <w:rPr>
                <w:bCs/>
              </w:rPr>
              <w:t xml:space="preserve"> storage will be archived in Year 2</w:t>
            </w:r>
          </w:p>
        </w:tc>
      </w:tr>
      <w:tr w:rsidR="00681B46" w:rsidRPr="001032B6" w14:paraId="6D9170E9" w14:textId="77777777">
        <w:tc>
          <w:tcPr>
            <w:tcW w:w="526" w:type="dxa"/>
            <w:tcBorders>
              <w:top w:val="single" w:sz="4" w:space="0" w:color="auto"/>
              <w:left w:val="single" w:sz="4" w:space="0" w:color="auto"/>
              <w:bottom w:val="single" w:sz="4" w:space="0" w:color="auto"/>
              <w:right w:val="single" w:sz="4" w:space="0" w:color="auto"/>
            </w:tcBorders>
            <w:hideMark/>
          </w:tcPr>
          <w:p w14:paraId="00D3CE49" w14:textId="77777777" w:rsidR="00681B46" w:rsidRPr="001032B6" w:rsidRDefault="00681B46" w:rsidP="00681B46">
            <w:pPr>
              <w:spacing w:before="220" w:after="220"/>
              <w:jc w:val="both"/>
              <w:rPr>
                <w:bCs/>
              </w:rPr>
            </w:pPr>
            <w:r w:rsidRPr="001032B6">
              <w:rPr>
                <w:bCs/>
              </w:rPr>
              <w:t>5</w:t>
            </w:r>
          </w:p>
        </w:tc>
        <w:tc>
          <w:tcPr>
            <w:tcW w:w="2444" w:type="dxa"/>
            <w:tcBorders>
              <w:top w:val="single" w:sz="4" w:space="0" w:color="auto"/>
              <w:left w:val="single" w:sz="4" w:space="0" w:color="auto"/>
              <w:bottom w:val="single" w:sz="4" w:space="0" w:color="auto"/>
              <w:right w:val="single" w:sz="4" w:space="0" w:color="auto"/>
            </w:tcBorders>
            <w:hideMark/>
          </w:tcPr>
          <w:p w14:paraId="589D7CFE" w14:textId="77777777" w:rsidR="00681B46" w:rsidRPr="001032B6" w:rsidRDefault="00681B46" w:rsidP="00681B46">
            <w:pPr>
              <w:spacing w:before="220" w:after="220"/>
              <w:jc w:val="both"/>
              <w:rPr>
                <w:bCs/>
              </w:rPr>
            </w:pPr>
            <w:r w:rsidRPr="001032B6">
              <w:rPr>
                <w:bCs/>
              </w:rPr>
              <w:t>Backup/archive</w:t>
            </w:r>
          </w:p>
        </w:tc>
        <w:tc>
          <w:tcPr>
            <w:tcW w:w="1412" w:type="dxa"/>
            <w:tcBorders>
              <w:top w:val="single" w:sz="4" w:space="0" w:color="auto"/>
              <w:left w:val="single" w:sz="4" w:space="0" w:color="auto"/>
              <w:bottom w:val="single" w:sz="4" w:space="0" w:color="auto"/>
              <w:right w:val="single" w:sz="4" w:space="0" w:color="auto"/>
            </w:tcBorders>
            <w:hideMark/>
          </w:tcPr>
          <w:p w14:paraId="2CD0F823" w14:textId="77777777" w:rsidR="00681B46" w:rsidRPr="001032B6" w:rsidRDefault="00681B46" w:rsidP="00681B46">
            <w:pPr>
              <w:spacing w:before="220" w:after="220"/>
              <w:jc w:val="both"/>
              <w:rPr>
                <w:bCs/>
              </w:rPr>
            </w:pPr>
            <w:r w:rsidRPr="001032B6">
              <w:rPr>
                <w:bCs/>
              </w:rPr>
              <w:t>1.5PB</w:t>
            </w:r>
          </w:p>
        </w:tc>
        <w:tc>
          <w:tcPr>
            <w:tcW w:w="1412" w:type="dxa"/>
            <w:tcBorders>
              <w:top w:val="single" w:sz="4" w:space="0" w:color="auto"/>
              <w:left w:val="single" w:sz="4" w:space="0" w:color="auto"/>
              <w:bottom w:val="single" w:sz="4" w:space="0" w:color="auto"/>
              <w:right w:val="single" w:sz="4" w:space="0" w:color="auto"/>
            </w:tcBorders>
            <w:hideMark/>
          </w:tcPr>
          <w:p w14:paraId="67CC302D" w14:textId="77777777" w:rsidR="00681B46" w:rsidRPr="001032B6" w:rsidRDefault="00681B46" w:rsidP="00681B46">
            <w:pPr>
              <w:spacing w:before="220" w:after="220"/>
              <w:jc w:val="both"/>
              <w:rPr>
                <w:bCs/>
              </w:rPr>
            </w:pPr>
            <w:r w:rsidRPr="001032B6">
              <w:rPr>
                <w:bCs/>
              </w:rPr>
              <w:t>20PB</w:t>
            </w:r>
          </w:p>
        </w:tc>
        <w:tc>
          <w:tcPr>
            <w:tcW w:w="2841" w:type="dxa"/>
            <w:tcBorders>
              <w:top w:val="single" w:sz="4" w:space="0" w:color="auto"/>
              <w:left w:val="single" w:sz="4" w:space="0" w:color="auto"/>
              <w:bottom w:val="single" w:sz="4" w:space="0" w:color="auto"/>
              <w:right w:val="single" w:sz="4" w:space="0" w:color="auto"/>
            </w:tcBorders>
            <w:hideMark/>
          </w:tcPr>
          <w:p w14:paraId="1F6129E8" w14:textId="77777777" w:rsidR="00681B46" w:rsidRPr="001032B6" w:rsidRDefault="00681B46" w:rsidP="00681B46">
            <w:pPr>
              <w:spacing w:before="220" w:after="220"/>
              <w:jc w:val="both"/>
              <w:rPr>
                <w:bCs/>
              </w:rPr>
            </w:pPr>
            <w:r w:rsidRPr="001032B6">
              <w:rPr>
                <w:bCs/>
              </w:rPr>
              <w:t>Some storage will be archived</w:t>
            </w:r>
          </w:p>
        </w:tc>
      </w:tr>
      <w:tr w:rsidR="00681B46" w:rsidRPr="001032B6" w14:paraId="21E7C850" w14:textId="77777777">
        <w:tc>
          <w:tcPr>
            <w:tcW w:w="526" w:type="dxa"/>
            <w:tcBorders>
              <w:top w:val="single" w:sz="4" w:space="0" w:color="auto"/>
              <w:left w:val="single" w:sz="4" w:space="0" w:color="auto"/>
              <w:bottom w:val="single" w:sz="4" w:space="0" w:color="auto"/>
              <w:right w:val="single" w:sz="4" w:space="0" w:color="auto"/>
            </w:tcBorders>
            <w:hideMark/>
          </w:tcPr>
          <w:p w14:paraId="7FA58D5B" w14:textId="77777777" w:rsidR="00681B46" w:rsidRPr="001032B6" w:rsidRDefault="00681B46" w:rsidP="00681B46">
            <w:pPr>
              <w:spacing w:before="220" w:after="220"/>
              <w:jc w:val="both"/>
              <w:rPr>
                <w:bCs/>
              </w:rPr>
            </w:pPr>
            <w:r w:rsidRPr="001032B6">
              <w:rPr>
                <w:bCs/>
              </w:rPr>
              <w:t>6</w:t>
            </w:r>
          </w:p>
        </w:tc>
        <w:tc>
          <w:tcPr>
            <w:tcW w:w="2444" w:type="dxa"/>
            <w:tcBorders>
              <w:top w:val="single" w:sz="4" w:space="0" w:color="auto"/>
              <w:left w:val="single" w:sz="4" w:space="0" w:color="auto"/>
              <w:bottom w:val="single" w:sz="4" w:space="0" w:color="auto"/>
              <w:right w:val="single" w:sz="4" w:space="0" w:color="auto"/>
            </w:tcBorders>
            <w:hideMark/>
          </w:tcPr>
          <w:p w14:paraId="0D2CDFDC" w14:textId="77777777" w:rsidR="00681B46" w:rsidRPr="001032B6" w:rsidRDefault="00681B46" w:rsidP="00681B46">
            <w:pPr>
              <w:spacing w:before="220" w:after="220"/>
              <w:jc w:val="both"/>
              <w:rPr>
                <w:bCs/>
              </w:rPr>
            </w:pPr>
            <w:r w:rsidRPr="001032B6">
              <w:rPr>
                <w:bCs/>
              </w:rPr>
              <w:t>Network – Cisco routers / switches</w:t>
            </w:r>
          </w:p>
        </w:tc>
        <w:tc>
          <w:tcPr>
            <w:tcW w:w="1412" w:type="dxa"/>
            <w:tcBorders>
              <w:top w:val="single" w:sz="4" w:space="0" w:color="auto"/>
              <w:left w:val="single" w:sz="4" w:space="0" w:color="auto"/>
              <w:bottom w:val="single" w:sz="4" w:space="0" w:color="auto"/>
              <w:right w:val="single" w:sz="4" w:space="0" w:color="auto"/>
            </w:tcBorders>
          </w:tcPr>
          <w:p w14:paraId="0D94C1E2"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1EDEAF1B" w14:textId="77777777" w:rsidR="00681B46" w:rsidRPr="001032B6" w:rsidRDefault="00681B46" w:rsidP="00681B46">
            <w:pPr>
              <w:spacing w:before="220" w:after="220"/>
              <w:jc w:val="both"/>
              <w:rPr>
                <w:bCs/>
              </w:rPr>
            </w:pPr>
            <w:r w:rsidRPr="001032B6">
              <w:rPr>
                <w:bCs/>
              </w:rPr>
              <w:t>50</w:t>
            </w:r>
          </w:p>
        </w:tc>
        <w:tc>
          <w:tcPr>
            <w:tcW w:w="2841" w:type="dxa"/>
            <w:tcBorders>
              <w:top w:val="single" w:sz="4" w:space="0" w:color="auto"/>
              <w:left w:val="single" w:sz="4" w:space="0" w:color="auto"/>
              <w:bottom w:val="single" w:sz="4" w:space="0" w:color="auto"/>
              <w:right w:val="single" w:sz="4" w:space="0" w:color="auto"/>
            </w:tcBorders>
          </w:tcPr>
          <w:p w14:paraId="5FF05488" w14:textId="77777777" w:rsidR="00681B46" w:rsidRPr="001032B6" w:rsidRDefault="00681B46" w:rsidP="00681B46">
            <w:pPr>
              <w:spacing w:before="220" w:after="220"/>
              <w:jc w:val="both"/>
              <w:rPr>
                <w:bCs/>
              </w:rPr>
            </w:pPr>
          </w:p>
        </w:tc>
      </w:tr>
      <w:tr w:rsidR="00681B46" w:rsidRPr="001032B6" w14:paraId="0361B817" w14:textId="77777777">
        <w:tc>
          <w:tcPr>
            <w:tcW w:w="526" w:type="dxa"/>
            <w:tcBorders>
              <w:top w:val="single" w:sz="4" w:space="0" w:color="auto"/>
              <w:left w:val="single" w:sz="4" w:space="0" w:color="auto"/>
              <w:bottom w:val="single" w:sz="4" w:space="0" w:color="auto"/>
              <w:right w:val="single" w:sz="4" w:space="0" w:color="auto"/>
            </w:tcBorders>
            <w:hideMark/>
          </w:tcPr>
          <w:p w14:paraId="53FC75E9" w14:textId="77777777" w:rsidR="00681B46" w:rsidRPr="001032B6" w:rsidRDefault="00681B46" w:rsidP="00681B46">
            <w:pPr>
              <w:spacing w:before="220" w:after="220"/>
              <w:jc w:val="both"/>
              <w:rPr>
                <w:bCs/>
              </w:rPr>
            </w:pPr>
            <w:r w:rsidRPr="001032B6">
              <w:rPr>
                <w:bCs/>
              </w:rPr>
              <w:t>7</w:t>
            </w:r>
          </w:p>
        </w:tc>
        <w:tc>
          <w:tcPr>
            <w:tcW w:w="2444" w:type="dxa"/>
            <w:tcBorders>
              <w:top w:val="single" w:sz="4" w:space="0" w:color="auto"/>
              <w:left w:val="single" w:sz="4" w:space="0" w:color="auto"/>
              <w:bottom w:val="single" w:sz="4" w:space="0" w:color="auto"/>
              <w:right w:val="single" w:sz="4" w:space="0" w:color="auto"/>
            </w:tcBorders>
            <w:hideMark/>
          </w:tcPr>
          <w:p w14:paraId="1744451D" w14:textId="77777777" w:rsidR="00681B46" w:rsidRPr="001032B6" w:rsidRDefault="00681B46" w:rsidP="00681B46">
            <w:pPr>
              <w:spacing w:before="220" w:after="220"/>
              <w:jc w:val="both"/>
              <w:rPr>
                <w:bCs/>
              </w:rPr>
            </w:pPr>
            <w:r w:rsidRPr="001032B6">
              <w:rPr>
                <w:bCs/>
              </w:rPr>
              <w:t>Network – Gateways</w:t>
            </w:r>
          </w:p>
        </w:tc>
        <w:tc>
          <w:tcPr>
            <w:tcW w:w="1412" w:type="dxa"/>
            <w:tcBorders>
              <w:top w:val="single" w:sz="4" w:space="0" w:color="auto"/>
              <w:left w:val="single" w:sz="4" w:space="0" w:color="auto"/>
              <w:bottom w:val="single" w:sz="4" w:space="0" w:color="auto"/>
              <w:right w:val="single" w:sz="4" w:space="0" w:color="auto"/>
            </w:tcBorders>
            <w:hideMark/>
          </w:tcPr>
          <w:p w14:paraId="311C185E" w14:textId="77777777" w:rsidR="00681B46" w:rsidRPr="001032B6" w:rsidRDefault="00681B46" w:rsidP="00681B46">
            <w:pPr>
              <w:spacing w:before="220" w:after="220"/>
              <w:jc w:val="both"/>
              <w:rPr>
                <w:bCs/>
              </w:rPr>
            </w:pPr>
            <w:r w:rsidRPr="001032B6">
              <w:rPr>
                <w:bCs/>
              </w:rPr>
              <w:t>10</w:t>
            </w:r>
          </w:p>
        </w:tc>
        <w:tc>
          <w:tcPr>
            <w:tcW w:w="1412" w:type="dxa"/>
            <w:tcBorders>
              <w:top w:val="single" w:sz="4" w:space="0" w:color="auto"/>
              <w:left w:val="single" w:sz="4" w:space="0" w:color="auto"/>
              <w:bottom w:val="single" w:sz="4" w:space="0" w:color="auto"/>
              <w:right w:val="single" w:sz="4" w:space="0" w:color="auto"/>
            </w:tcBorders>
          </w:tcPr>
          <w:p w14:paraId="1DDF95C8" w14:textId="77777777" w:rsidR="00681B46" w:rsidRPr="001032B6" w:rsidRDefault="00681B46" w:rsidP="00681B46">
            <w:pPr>
              <w:spacing w:before="220" w:after="220"/>
              <w:jc w:val="both"/>
              <w:rPr>
                <w:bCs/>
              </w:rPr>
            </w:pPr>
          </w:p>
        </w:tc>
        <w:tc>
          <w:tcPr>
            <w:tcW w:w="2841" w:type="dxa"/>
            <w:tcBorders>
              <w:top w:val="single" w:sz="4" w:space="0" w:color="auto"/>
              <w:left w:val="single" w:sz="4" w:space="0" w:color="auto"/>
              <w:bottom w:val="single" w:sz="4" w:space="0" w:color="auto"/>
              <w:right w:val="single" w:sz="4" w:space="0" w:color="auto"/>
            </w:tcBorders>
          </w:tcPr>
          <w:p w14:paraId="2581E603" w14:textId="77777777" w:rsidR="00681B46" w:rsidRPr="001032B6" w:rsidRDefault="00681B46" w:rsidP="00681B46">
            <w:pPr>
              <w:spacing w:before="220" w:after="220"/>
              <w:jc w:val="both"/>
              <w:rPr>
                <w:bCs/>
              </w:rPr>
            </w:pPr>
          </w:p>
        </w:tc>
      </w:tr>
      <w:tr w:rsidR="00681B46" w:rsidRPr="001032B6" w14:paraId="45810B6D" w14:textId="77777777">
        <w:tc>
          <w:tcPr>
            <w:tcW w:w="526" w:type="dxa"/>
            <w:tcBorders>
              <w:top w:val="single" w:sz="4" w:space="0" w:color="auto"/>
              <w:left w:val="single" w:sz="4" w:space="0" w:color="auto"/>
              <w:bottom w:val="single" w:sz="4" w:space="0" w:color="auto"/>
              <w:right w:val="single" w:sz="4" w:space="0" w:color="auto"/>
            </w:tcBorders>
            <w:hideMark/>
          </w:tcPr>
          <w:p w14:paraId="56E00A45" w14:textId="77777777" w:rsidR="00681B46" w:rsidRPr="001032B6" w:rsidRDefault="00681B46" w:rsidP="00681B46">
            <w:pPr>
              <w:spacing w:before="220" w:after="220"/>
              <w:jc w:val="both"/>
              <w:rPr>
                <w:bCs/>
              </w:rPr>
            </w:pPr>
            <w:r w:rsidRPr="001032B6">
              <w:rPr>
                <w:bCs/>
              </w:rPr>
              <w:t>8</w:t>
            </w:r>
          </w:p>
        </w:tc>
        <w:tc>
          <w:tcPr>
            <w:tcW w:w="2444" w:type="dxa"/>
            <w:tcBorders>
              <w:top w:val="single" w:sz="4" w:space="0" w:color="auto"/>
              <w:left w:val="single" w:sz="4" w:space="0" w:color="auto"/>
              <w:bottom w:val="single" w:sz="4" w:space="0" w:color="auto"/>
              <w:right w:val="single" w:sz="4" w:space="0" w:color="auto"/>
            </w:tcBorders>
            <w:hideMark/>
          </w:tcPr>
          <w:p w14:paraId="6BF6D095" w14:textId="77777777" w:rsidR="00681B46" w:rsidRPr="001032B6" w:rsidRDefault="00681B46" w:rsidP="00681B46">
            <w:pPr>
              <w:spacing w:before="220" w:after="220"/>
              <w:jc w:val="both"/>
              <w:rPr>
                <w:bCs/>
              </w:rPr>
            </w:pPr>
            <w:r w:rsidRPr="001032B6">
              <w:rPr>
                <w:bCs/>
              </w:rPr>
              <w:t>Network – F5 Load Balancers</w:t>
            </w:r>
          </w:p>
        </w:tc>
        <w:tc>
          <w:tcPr>
            <w:tcW w:w="1412" w:type="dxa"/>
            <w:tcBorders>
              <w:top w:val="single" w:sz="4" w:space="0" w:color="auto"/>
              <w:left w:val="single" w:sz="4" w:space="0" w:color="auto"/>
              <w:bottom w:val="single" w:sz="4" w:space="0" w:color="auto"/>
              <w:right w:val="single" w:sz="4" w:space="0" w:color="auto"/>
            </w:tcBorders>
            <w:hideMark/>
          </w:tcPr>
          <w:p w14:paraId="76ACC3F6" w14:textId="77777777" w:rsidR="00681B46" w:rsidRPr="001032B6" w:rsidRDefault="00681B46" w:rsidP="00681B46">
            <w:pPr>
              <w:spacing w:before="220" w:after="220"/>
              <w:jc w:val="both"/>
              <w:rPr>
                <w:bCs/>
              </w:rPr>
            </w:pPr>
            <w:r w:rsidRPr="001032B6">
              <w:rPr>
                <w:bCs/>
              </w:rPr>
              <w:t>8</w:t>
            </w:r>
          </w:p>
        </w:tc>
        <w:tc>
          <w:tcPr>
            <w:tcW w:w="1412" w:type="dxa"/>
            <w:tcBorders>
              <w:top w:val="single" w:sz="4" w:space="0" w:color="auto"/>
              <w:left w:val="single" w:sz="4" w:space="0" w:color="auto"/>
              <w:bottom w:val="single" w:sz="4" w:space="0" w:color="auto"/>
              <w:right w:val="single" w:sz="4" w:space="0" w:color="auto"/>
            </w:tcBorders>
            <w:hideMark/>
          </w:tcPr>
          <w:p w14:paraId="5CE69A7E" w14:textId="77777777" w:rsidR="00681B46" w:rsidRPr="001032B6" w:rsidRDefault="00681B46" w:rsidP="00681B46">
            <w:pPr>
              <w:spacing w:before="220" w:after="220"/>
              <w:jc w:val="both"/>
              <w:rPr>
                <w:bCs/>
              </w:rPr>
            </w:pPr>
            <w:r w:rsidRPr="001032B6">
              <w:rPr>
                <w:bCs/>
              </w:rPr>
              <w:t>6</w:t>
            </w:r>
          </w:p>
        </w:tc>
        <w:tc>
          <w:tcPr>
            <w:tcW w:w="2841" w:type="dxa"/>
            <w:tcBorders>
              <w:top w:val="single" w:sz="4" w:space="0" w:color="auto"/>
              <w:left w:val="single" w:sz="4" w:space="0" w:color="auto"/>
              <w:bottom w:val="single" w:sz="4" w:space="0" w:color="auto"/>
              <w:right w:val="single" w:sz="4" w:space="0" w:color="auto"/>
            </w:tcBorders>
          </w:tcPr>
          <w:p w14:paraId="15C1C3CB" w14:textId="77777777" w:rsidR="00681B46" w:rsidRPr="001032B6" w:rsidRDefault="00681B46" w:rsidP="00681B46">
            <w:pPr>
              <w:spacing w:before="220" w:after="220"/>
              <w:jc w:val="both"/>
              <w:rPr>
                <w:bCs/>
              </w:rPr>
            </w:pPr>
          </w:p>
        </w:tc>
      </w:tr>
      <w:tr w:rsidR="00681B46" w:rsidRPr="001032B6" w14:paraId="6377CBF4" w14:textId="77777777">
        <w:tc>
          <w:tcPr>
            <w:tcW w:w="526" w:type="dxa"/>
            <w:tcBorders>
              <w:top w:val="single" w:sz="4" w:space="0" w:color="auto"/>
              <w:left w:val="single" w:sz="4" w:space="0" w:color="auto"/>
              <w:bottom w:val="single" w:sz="4" w:space="0" w:color="auto"/>
              <w:right w:val="single" w:sz="4" w:space="0" w:color="auto"/>
            </w:tcBorders>
            <w:hideMark/>
          </w:tcPr>
          <w:p w14:paraId="02A035C9" w14:textId="77777777" w:rsidR="00681B46" w:rsidRPr="001032B6" w:rsidRDefault="00681B46" w:rsidP="00681B46">
            <w:pPr>
              <w:spacing w:before="220" w:after="220"/>
              <w:jc w:val="both"/>
              <w:rPr>
                <w:bCs/>
              </w:rPr>
            </w:pPr>
            <w:r w:rsidRPr="001032B6">
              <w:rPr>
                <w:bCs/>
              </w:rPr>
              <w:t>9</w:t>
            </w:r>
          </w:p>
        </w:tc>
        <w:tc>
          <w:tcPr>
            <w:tcW w:w="2444" w:type="dxa"/>
            <w:tcBorders>
              <w:top w:val="single" w:sz="4" w:space="0" w:color="auto"/>
              <w:left w:val="single" w:sz="4" w:space="0" w:color="auto"/>
              <w:bottom w:val="single" w:sz="4" w:space="0" w:color="auto"/>
              <w:right w:val="single" w:sz="4" w:space="0" w:color="auto"/>
            </w:tcBorders>
            <w:hideMark/>
          </w:tcPr>
          <w:p w14:paraId="573C03AF" w14:textId="77777777" w:rsidR="00681B46" w:rsidRPr="001032B6" w:rsidRDefault="00681B46" w:rsidP="00681B46">
            <w:pPr>
              <w:spacing w:before="220" w:after="220"/>
              <w:jc w:val="both"/>
              <w:rPr>
                <w:bCs/>
              </w:rPr>
            </w:pPr>
            <w:r w:rsidRPr="001032B6">
              <w:rPr>
                <w:bCs/>
              </w:rPr>
              <w:t>Cisco ASA firewalls</w:t>
            </w:r>
          </w:p>
        </w:tc>
        <w:tc>
          <w:tcPr>
            <w:tcW w:w="1412" w:type="dxa"/>
            <w:tcBorders>
              <w:top w:val="single" w:sz="4" w:space="0" w:color="auto"/>
              <w:left w:val="single" w:sz="4" w:space="0" w:color="auto"/>
              <w:bottom w:val="single" w:sz="4" w:space="0" w:color="auto"/>
              <w:right w:val="single" w:sz="4" w:space="0" w:color="auto"/>
            </w:tcBorders>
          </w:tcPr>
          <w:p w14:paraId="34663C1A"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511C6EA9" w14:textId="77777777" w:rsidR="00681B46" w:rsidRPr="001032B6" w:rsidRDefault="00681B46" w:rsidP="00681B46">
            <w:pPr>
              <w:spacing w:before="220" w:after="220"/>
              <w:jc w:val="both"/>
              <w:rPr>
                <w:bCs/>
              </w:rPr>
            </w:pPr>
            <w:r w:rsidRPr="001032B6">
              <w:rPr>
                <w:bCs/>
              </w:rPr>
              <w:t>8</w:t>
            </w:r>
          </w:p>
        </w:tc>
        <w:tc>
          <w:tcPr>
            <w:tcW w:w="2841" w:type="dxa"/>
            <w:tcBorders>
              <w:top w:val="single" w:sz="4" w:space="0" w:color="auto"/>
              <w:left w:val="single" w:sz="4" w:space="0" w:color="auto"/>
              <w:bottom w:val="single" w:sz="4" w:space="0" w:color="auto"/>
              <w:right w:val="single" w:sz="4" w:space="0" w:color="auto"/>
            </w:tcBorders>
          </w:tcPr>
          <w:p w14:paraId="4ACE3298" w14:textId="77777777" w:rsidR="00681B46" w:rsidRPr="001032B6" w:rsidRDefault="00681B46" w:rsidP="00681B46">
            <w:pPr>
              <w:spacing w:before="220" w:after="220"/>
              <w:jc w:val="both"/>
              <w:rPr>
                <w:bCs/>
              </w:rPr>
            </w:pPr>
          </w:p>
        </w:tc>
      </w:tr>
      <w:tr w:rsidR="00681B46" w:rsidRPr="001032B6" w14:paraId="6F460E90" w14:textId="77777777">
        <w:tc>
          <w:tcPr>
            <w:tcW w:w="526" w:type="dxa"/>
            <w:tcBorders>
              <w:top w:val="single" w:sz="4" w:space="0" w:color="auto"/>
              <w:left w:val="single" w:sz="4" w:space="0" w:color="auto"/>
              <w:bottom w:val="single" w:sz="4" w:space="0" w:color="auto"/>
              <w:right w:val="single" w:sz="4" w:space="0" w:color="auto"/>
            </w:tcBorders>
            <w:hideMark/>
          </w:tcPr>
          <w:p w14:paraId="05D84E93" w14:textId="77777777" w:rsidR="00681B46" w:rsidRPr="001032B6" w:rsidRDefault="00681B46" w:rsidP="00681B46">
            <w:pPr>
              <w:spacing w:before="220" w:after="220"/>
              <w:jc w:val="both"/>
              <w:rPr>
                <w:bCs/>
              </w:rPr>
            </w:pPr>
            <w:r w:rsidRPr="001032B6">
              <w:rPr>
                <w:bCs/>
              </w:rPr>
              <w:t>10</w:t>
            </w:r>
          </w:p>
        </w:tc>
        <w:tc>
          <w:tcPr>
            <w:tcW w:w="2444" w:type="dxa"/>
            <w:tcBorders>
              <w:top w:val="single" w:sz="4" w:space="0" w:color="auto"/>
              <w:left w:val="single" w:sz="4" w:space="0" w:color="auto"/>
              <w:bottom w:val="single" w:sz="4" w:space="0" w:color="auto"/>
              <w:right w:val="single" w:sz="4" w:space="0" w:color="auto"/>
            </w:tcBorders>
            <w:hideMark/>
          </w:tcPr>
          <w:p w14:paraId="564B0557" w14:textId="77777777" w:rsidR="00681B46" w:rsidRPr="001032B6" w:rsidRDefault="00681B46" w:rsidP="00681B46">
            <w:pPr>
              <w:spacing w:before="220" w:after="220"/>
              <w:jc w:val="both"/>
              <w:rPr>
                <w:bCs/>
              </w:rPr>
            </w:pPr>
            <w:r w:rsidRPr="001032B6">
              <w:rPr>
                <w:bCs/>
              </w:rPr>
              <w:t>Azure firewalls</w:t>
            </w:r>
          </w:p>
        </w:tc>
        <w:tc>
          <w:tcPr>
            <w:tcW w:w="1412" w:type="dxa"/>
            <w:tcBorders>
              <w:top w:val="single" w:sz="4" w:space="0" w:color="auto"/>
              <w:left w:val="single" w:sz="4" w:space="0" w:color="auto"/>
              <w:bottom w:val="single" w:sz="4" w:space="0" w:color="auto"/>
              <w:right w:val="single" w:sz="4" w:space="0" w:color="auto"/>
            </w:tcBorders>
            <w:hideMark/>
          </w:tcPr>
          <w:p w14:paraId="1718AD54" w14:textId="77777777" w:rsidR="00681B46" w:rsidRPr="001032B6" w:rsidRDefault="00681B46" w:rsidP="00681B46">
            <w:pPr>
              <w:spacing w:before="220" w:after="220"/>
              <w:jc w:val="both"/>
              <w:rPr>
                <w:bCs/>
              </w:rPr>
            </w:pPr>
            <w:r w:rsidRPr="001032B6">
              <w:rPr>
                <w:bCs/>
              </w:rPr>
              <w:t>8</w:t>
            </w:r>
          </w:p>
        </w:tc>
        <w:tc>
          <w:tcPr>
            <w:tcW w:w="1412" w:type="dxa"/>
            <w:tcBorders>
              <w:top w:val="single" w:sz="4" w:space="0" w:color="auto"/>
              <w:left w:val="single" w:sz="4" w:space="0" w:color="auto"/>
              <w:bottom w:val="single" w:sz="4" w:space="0" w:color="auto"/>
              <w:right w:val="single" w:sz="4" w:space="0" w:color="auto"/>
            </w:tcBorders>
          </w:tcPr>
          <w:p w14:paraId="28BE3760" w14:textId="77777777" w:rsidR="00681B46" w:rsidRPr="001032B6" w:rsidRDefault="00681B46" w:rsidP="00681B46">
            <w:pPr>
              <w:spacing w:before="220" w:after="220"/>
              <w:jc w:val="both"/>
              <w:rPr>
                <w:bCs/>
              </w:rPr>
            </w:pPr>
          </w:p>
        </w:tc>
        <w:tc>
          <w:tcPr>
            <w:tcW w:w="2841" w:type="dxa"/>
            <w:tcBorders>
              <w:top w:val="single" w:sz="4" w:space="0" w:color="auto"/>
              <w:left w:val="single" w:sz="4" w:space="0" w:color="auto"/>
              <w:bottom w:val="single" w:sz="4" w:space="0" w:color="auto"/>
              <w:right w:val="single" w:sz="4" w:space="0" w:color="auto"/>
            </w:tcBorders>
          </w:tcPr>
          <w:p w14:paraId="245F18C5" w14:textId="77777777" w:rsidR="00681B46" w:rsidRPr="001032B6" w:rsidRDefault="00681B46" w:rsidP="00681B46">
            <w:pPr>
              <w:spacing w:before="220" w:after="220"/>
              <w:jc w:val="both"/>
              <w:rPr>
                <w:bCs/>
              </w:rPr>
            </w:pPr>
          </w:p>
        </w:tc>
      </w:tr>
      <w:tr w:rsidR="00681B46" w:rsidRPr="001032B6" w14:paraId="4D738F74" w14:textId="77777777">
        <w:tc>
          <w:tcPr>
            <w:tcW w:w="526" w:type="dxa"/>
            <w:tcBorders>
              <w:top w:val="single" w:sz="4" w:space="0" w:color="auto"/>
              <w:left w:val="single" w:sz="4" w:space="0" w:color="auto"/>
              <w:bottom w:val="single" w:sz="4" w:space="0" w:color="auto"/>
              <w:right w:val="single" w:sz="4" w:space="0" w:color="auto"/>
            </w:tcBorders>
            <w:hideMark/>
          </w:tcPr>
          <w:p w14:paraId="6DA991B6" w14:textId="77777777" w:rsidR="00681B46" w:rsidRPr="001032B6" w:rsidRDefault="00681B46" w:rsidP="00681B46">
            <w:pPr>
              <w:spacing w:before="220" w:after="220"/>
              <w:jc w:val="both"/>
              <w:rPr>
                <w:bCs/>
              </w:rPr>
            </w:pPr>
            <w:r w:rsidRPr="001032B6">
              <w:rPr>
                <w:bCs/>
              </w:rPr>
              <w:t>11</w:t>
            </w:r>
          </w:p>
        </w:tc>
        <w:tc>
          <w:tcPr>
            <w:tcW w:w="2444" w:type="dxa"/>
            <w:tcBorders>
              <w:top w:val="single" w:sz="4" w:space="0" w:color="auto"/>
              <w:left w:val="single" w:sz="4" w:space="0" w:color="auto"/>
              <w:bottom w:val="single" w:sz="4" w:space="0" w:color="auto"/>
              <w:right w:val="single" w:sz="4" w:space="0" w:color="auto"/>
            </w:tcBorders>
            <w:hideMark/>
          </w:tcPr>
          <w:p w14:paraId="1D47E66F" w14:textId="77777777" w:rsidR="00681B46" w:rsidRPr="001032B6" w:rsidRDefault="00681B46" w:rsidP="00681B46">
            <w:pPr>
              <w:spacing w:before="220" w:after="220"/>
              <w:jc w:val="both"/>
              <w:rPr>
                <w:bCs/>
              </w:rPr>
            </w:pPr>
            <w:r w:rsidRPr="001032B6">
              <w:rPr>
                <w:bCs/>
              </w:rPr>
              <w:t>Integration engine</w:t>
            </w:r>
          </w:p>
        </w:tc>
        <w:tc>
          <w:tcPr>
            <w:tcW w:w="1412" w:type="dxa"/>
            <w:tcBorders>
              <w:top w:val="single" w:sz="4" w:space="0" w:color="auto"/>
              <w:left w:val="single" w:sz="4" w:space="0" w:color="auto"/>
              <w:bottom w:val="single" w:sz="4" w:space="0" w:color="auto"/>
              <w:right w:val="single" w:sz="4" w:space="0" w:color="auto"/>
            </w:tcBorders>
            <w:hideMark/>
          </w:tcPr>
          <w:p w14:paraId="6A5FF8C7" w14:textId="77777777" w:rsidR="00681B46" w:rsidRPr="001032B6" w:rsidRDefault="00681B46" w:rsidP="00681B46">
            <w:pPr>
              <w:spacing w:before="220" w:after="220"/>
              <w:jc w:val="both"/>
              <w:rPr>
                <w:bCs/>
              </w:rPr>
            </w:pPr>
            <w:r w:rsidRPr="001032B6">
              <w:rPr>
                <w:bCs/>
              </w:rPr>
              <w:t>1000+ interfaces</w:t>
            </w:r>
          </w:p>
        </w:tc>
        <w:tc>
          <w:tcPr>
            <w:tcW w:w="1412" w:type="dxa"/>
            <w:tcBorders>
              <w:top w:val="single" w:sz="4" w:space="0" w:color="auto"/>
              <w:left w:val="single" w:sz="4" w:space="0" w:color="auto"/>
              <w:bottom w:val="single" w:sz="4" w:space="0" w:color="auto"/>
              <w:right w:val="single" w:sz="4" w:space="0" w:color="auto"/>
            </w:tcBorders>
            <w:hideMark/>
          </w:tcPr>
          <w:p w14:paraId="7ED7DCEE" w14:textId="77777777" w:rsidR="00681B46" w:rsidRPr="001032B6" w:rsidRDefault="00681B46" w:rsidP="00681B46">
            <w:pPr>
              <w:spacing w:before="220" w:after="220"/>
              <w:jc w:val="both"/>
              <w:rPr>
                <w:bCs/>
              </w:rPr>
            </w:pPr>
            <w:r w:rsidRPr="001032B6">
              <w:rPr>
                <w:bCs/>
              </w:rPr>
              <w:t>1000+ interfaces</w:t>
            </w:r>
          </w:p>
        </w:tc>
        <w:tc>
          <w:tcPr>
            <w:tcW w:w="2841" w:type="dxa"/>
            <w:tcBorders>
              <w:top w:val="single" w:sz="4" w:space="0" w:color="auto"/>
              <w:left w:val="single" w:sz="4" w:space="0" w:color="auto"/>
              <w:bottom w:val="single" w:sz="4" w:space="0" w:color="auto"/>
              <w:right w:val="single" w:sz="4" w:space="0" w:color="auto"/>
            </w:tcBorders>
            <w:hideMark/>
          </w:tcPr>
          <w:p w14:paraId="3A439338" w14:textId="77777777" w:rsidR="00681B46" w:rsidRPr="001032B6" w:rsidRDefault="00681B46" w:rsidP="00681B46">
            <w:pPr>
              <w:spacing w:before="220" w:after="220"/>
              <w:jc w:val="both"/>
              <w:rPr>
                <w:bCs/>
              </w:rPr>
            </w:pPr>
            <w:proofErr w:type="spellStart"/>
            <w:r w:rsidRPr="001032B6">
              <w:rPr>
                <w:bCs/>
              </w:rPr>
              <w:t>Corepoint</w:t>
            </w:r>
            <w:proofErr w:type="spellEnd"/>
            <w:r w:rsidRPr="001032B6">
              <w:rPr>
                <w:bCs/>
              </w:rPr>
              <w:t xml:space="preserve"> is the integration engine</w:t>
            </w:r>
          </w:p>
        </w:tc>
      </w:tr>
      <w:tr w:rsidR="00681B46" w:rsidRPr="001032B6" w14:paraId="0A3DAD0C" w14:textId="77777777">
        <w:tc>
          <w:tcPr>
            <w:tcW w:w="526" w:type="dxa"/>
            <w:tcBorders>
              <w:top w:val="single" w:sz="4" w:space="0" w:color="auto"/>
              <w:left w:val="single" w:sz="4" w:space="0" w:color="auto"/>
              <w:bottom w:val="single" w:sz="4" w:space="0" w:color="auto"/>
              <w:right w:val="single" w:sz="4" w:space="0" w:color="auto"/>
            </w:tcBorders>
            <w:hideMark/>
          </w:tcPr>
          <w:p w14:paraId="65533340" w14:textId="77777777" w:rsidR="00681B46" w:rsidRPr="001032B6" w:rsidRDefault="00681B46" w:rsidP="00681B46">
            <w:pPr>
              <w:spacing w:before="220" w:after="220"/>
              <w:jc w:val="both"/>
              <w:rPr>
                <w:bCs/>
              </w:rPr>
            </w:pPr>
            <w:r w:rsidRPr="001032B6">
              <w:rPr>
                <w:bCs/>
              </w:rPr>
              <w:lastRenderedPageBreak/>
              <w:t>12</w:t>
            </w:r>
          </w:p>
        </w:tc>
        <w:tc>
          <w:tcPr>
            <w:tcW w:w="2444" w:type="dxa"/>
            <w:tcBorders>
              <w:top w:val="single" w:sz="4" w:space="0" w:color="auto"/>
              <w:left w:val="single" w:sz="4" w:space="0" w:color="auto"/>
              <w:bottom w:val="single" w:sz="4" w:space="0" w:color="auto"/>
              <w:right w:val="single" w:sz="4" w:space="0" w:color="auto"/>
            </w:tcBorders>
            <w:hideMark/>
          </w:tcPr>
          <w:p w14:paraId="43E1FD7C" w14:textId="77777777" w:rsidR="00681B46" w:rsidRPr="001032B6" w:rsidRDefault="00681B46" w:rsidP="00681B46">
            <w:pPr>
              <w:spacing w:before="220" w:after="220"/>
              <w:jc w:val="both"/>
              <w:rPr>
                <w:bCs/>
              </w:rPr>
            </w:pPr>
            <w:r w:rsidRPr="001032B6">
              <w:rPr>
                <w:bCs/>
              </w:rPr>
              <w:t>Print Servers</w:t>
            </w:r>
          </w:p>
        </w:tc>
        <w:tc>
          <w:tcPr>
            <w:tcW w:w="1412" w:type="dxa"/>
            <w:tcBorders>
              <w:top w:val="single" w:sz="4" w:space="0" w:color="auto"/>
              <w:left w:val="single" w:sz="4" w:space="0" w:color="auto"/>
              <w:bottom w:val="single" w:sz="4" w:space="0" w:color="auto"/>
              <w:right w:val="single" w:sz="4" w:space="0" w:color="auto"/>
            </w:tcBorders>
          </w:tcPr>
          <w:p w14:paraId="4FC652B7" w14:textId="77777777" w:rsidR="00681B46" w:rsidRPr="001032B6" w:rsidRDefault="00681B46" w:rsidP="00681B46">
            <w:pPr>
              <w:spacing w:before="220" w:after="220"/>
              <w:jc w:val="both"/>
              <w:rPr>
                <w:bCs/>
              </w:rPr>
            </w:pPr>
          </w:p>
        </w:tc>
        <w:tc>
          <w:tcPr>
            <w:tcW w:w="1412" w:type="dxa"/>
            <w:tcBorders>
              <w:top w:val="single" w:sz="4" w:space="0" w:color="auto"/>
              <w:left w:val="single" w:sz="4" w:space="0" w:color="auto"/>
              <w:bottom w:val="single" w:sz="4" w:space="0" w:color="auto"/>
              <w:right w:val="single" w:sz="4" w:space="0" w:color="auto"/>
            </w:tcBorders>
            <w:hideMark/>
          </w:tcPr>
          <w:p w14:paraId="06601A10" w14:textId="77777777" w:rsidR="00681B46" w:rsidRPr="001032B6" w:rsidRDefault="00681B46" w:rsidP="00681B46">
            <w:pPr>
              <w:spacing w:before="220" w:after="220"/>
              <w:jc w:val="both"/>
              <w:rPr>
                <w:bCs/>
              </w:rPr>
            </w:pPr>
            <w:r w:rsidRPr="001032B6">
              <w:rPr>
                <w:bCs/>
              </w:rPr>
              <w:t>50</w:t>
            </w:r>
          </w:p>
        </w:tc>
        <w:tc>
          <w:tcPr>
            <w:tcW w:w="2841" w:type="dxa"/>
            <w:tcBorders>
              <w:top w:val="single" w:sz="4" w:space="0" w:color="auto"/>
              <w:left w:val="single" w:sz="4" w:space="0" w:color="auto"/>
              <w:bottom w:val="single" w:sz="4" w:space="0" w:color="auto"/>
              <w:right w:val="single" w:sz="4" w:space="0" w:color="auto"/>
            </w:tcBorders>
          </w:tcPr>
          <w:p w14:paraId="2FD49AA6" w14:textId="77777777" w:rsidR="00681B46" w:rsidRPr="001032B6" w:rsidRDefault="00681B46" w:rsidP="00681B46">
            <w:pPr>
              <w:spacing w:before="220" w:after="220"/>
              <w:jc w:val="both"/>
              <w:rPr>
                <w:bCs/>
              </w:rPr>
            </w:pPr>
          </w:p>
        </w:tc>
      </w:tr>
      <w:tr w:rsidR="00681B46" w:rsidRPr="001032B6" w14:paraId="7B3539E9" w14:textId="77777777">
        <w:tc>
          <w:tcPr>
            <w:tcW w:w="526" w:type="dxa"/>
            <w:tcBorders>
              <w:top w:val="single" w:sz="4" w:space="0" w:color="auto"/>
              <w:left w:val="single" w:sz="4" w:space="0" w:color="auto"/>
              <w:bottom w:val="single" w:sz="4" w:space="0" w:color="auto"/>
              <w:right w:val="single" w:sz="4" w:space="0" w:color="auto"/>
            </w:tcBorders>
            <w:hideMark/>
          </w:tcPr>
          <w:p w14:paraId="7B24578F" w14:textId="77777777" w:rsidR="00681B46" w:rsidRPr="001032B6" w:rsidRDefault="00681B46" w:rsidP="00681B46">
            <w:pPr>
              <w:spacing w:before="220" w:after="220"/>
              <w:jc w:val="both"/>
              <w:rPr>
                <w:bCs/>
              </w:rPr>
            </w:pPr>
            <w:r w:rsidRPr="001032B6">
              <w:rPr>
                <w:bCs/>
              </w:rPr>
              <w:t>13</w:t>
            </w:r>
          </w:p>
        </w:tc>
        <w:tc>
          <w:tcPr>
            <w:tcW w:w="2444" w:type="dxa"/>
            <w:tcBorders>
              <w:top w:val="single" w:sz="4" w:space="0" w:color="auto"/>
              <w:left w:val="single" w:sz="4" w:space="0" w:color="auto"/>
              <w:bottom w:val="single" w:sz="4" w:space="0" w:color="auto"/>
              <w:right w:val="single" w:sz="4" w:space="0" w:color="auto"/>
            </w:tcBorders>
            <w:hideMark/>
          </w:tcPr>
          <w:p w14:paraId="3C3FFD9D" w14:textId="77777777" w:rsidR="00681B46" w:rsidRPr="001032B6" w:rsidRDefault="00681B46" w:rsidP="00681B46">
            <w:pPr>
              <w:spacing w:before="220" w:after="220"/>
              <w:jc w:val="both"/>
              <w:rPr>
                <w:bCs/>
              </w:rPr>
            </w:pPr>
            <w:r w:rsidRPr="001032B6">
              <w:rPr>
                <w:bCs/>
              </w:rPr>
              <w:t xml:space="preserve">Applications </w:t>
            </w:r>
          </w:p>
        </w:tc>
        <w:tc>
          <w:tcPr>
            <w:tcW w:w="1412" w:type="dxa"/>
            <w:tcBorders>
              <w:top w:val="single" w:sz="4" w:space="0" w:color="auto"/>
              <w:left w:val="single" w:sz="4" w:space="0" w:color="auto"/>
              <w:bottom w:val="single" w:sz="4" w:space="0" w:color="auto"/>
              <w:right w:val="single" w:sz="4" w:space="0" w:color="auto"/>
            </w:tcBorders>
            <w:hideMark/>
          </w:tcPr>
          <w:p w14:paraId="7DF142D4" w14:textId="77777777" w:rsidR="00681B46" w:rsidRPr="001032B6" w:rsidRDefault="00681B46" w:rsidP="00681B46">
            <w:pPr>
              <w:spacing w:before="220" w:after="220"/>
              <w:jc w:val="both"/>
              <w:rPr>
                <w:bCs/>
              </w:rPr>
            </w:pPr>
            <w:r w:rsidRPr="001032B6">
              <w:rPr>
                <w:bCs/>
              </w:rPr>
              <w:t>100</w:t>
            </w:r>
          </w:p>
        </w:tc>
        <w:tc>
          <w:tcPr>
            <w:tcW w:w="1412" w:type="dxa"/>
            <w:tcBorders>
              <w:top w:val="single" w:sz="4" w:space="0" w:color="auto"/>
              <w:left w:val="single" w:sz="4" w:space="0" w:color="auto"/>
              <w:bottom w:val="single" w:sz="4" w:space="0" w:color="auto"/>
              <w:right w:val="single" w:sz="4" w:space="0" w:color="auto"/>
            </w:tcBorders>
            <w:hideMark/>
          </w:tcPr>
          <w:p w14:paraId="2B9DB434" w14:textId="77777777" w:rsidR="00681B46" w:rsidRPr="001032B6" w:rsidRDefault="00681B46" w:rsidP="00681B46">
            <w:pPr>
              <w:spacing w:before="220" w:after="220"/>
              <w:jc w:val="both"/>
              <w:rPr>
                <w:bCs/>
              </w:rPr>
            </w:pPr>
            <w:r w:rsidRPr="001032B6">
              <w:rPr>
                <w:bCs/>
              </w:rPr>
              <w:t>350</w:t>
            </w:r>
          </w:p>
        </w:tc>
        <w:tc>
          <w:tcPr>
            <w:tcW w:w="2841" w:type="dxa"/>
            <w:tcBorders>
              <w:top w:val="single" w:sz="4" w:space="0" w:color="auto"/>
              <w:left w:val="single" w:sz="4" w:space="0" w:color="auto"/>
              <w:bottom w:val="single" w:sz="4" w:space="0" w:color="auto"/>
              <w:right w:val="single" w:sz="4" w:space="0" w:color="auto"/>
            </w:tcBorders>
          </w:tcPr>
          <w:p w14:paraId="5C170C06" w14:textId="77777777" w:rsidR="00681B46" w:rsidRPr="001032B6" w:rsidRDefault="00681B46" w:rsidP="00681B46">
            <w:pPr>
              <w:spacing w:before="220" w:after="220"/>
              <w:jc w:val="both"/>
              <w:rPr>
                <w:bCs/>
              </w:rPr>
            </w:pPr>
          </w:p>
        </w:tc>
      </w:tr>
      <w:tr w:rsidR="00681B46" w:rsidRPr="001032B6" w14:paraId="415829BB" w14:textId="77777777">
        <w:tc>
          <w:tcPr>
            <w:tcW w:w="526" w:type="dxa"/>
            <w:tcBorders>
              <w:top w:val="single" w:sz="4" w:space="0" w:color="auto"/>
              <w:left w:val="single" w:sz="4" w:space="0" w:color="auto"/>
              <w:bottom w:val="single" w:sz="4" w:space="0" w:color="auto"/>
              <w:right w:val="single" w:sz="4" w:space="0" w:color="auto"/>
            </w:tcBorders>
            <w:hideMark/>
          </w:tcPr>
          <w:p w14:paraId="43FBA9E3" w14:textId="77777777" w:rsidR="00681B46" w:rsidRPr="001032B6" w:rsidRDefault="00681B46" w:rsidP="00681B46">
            <w:pPr>
              <w:spacing w:before="220" w:after="220"/>
              <w:jc w:val="both"/>
              <w:rPr>
                <w:bCs/>
              </w:rPr>
            </w:pPr>
            <w:r w:rsidRPr="001032B6">
              <w:rPr>
                <w:bCs/>
              </w:rPr>
              <w:t xml:space="preserve">14 </w:t>
            </w:r>
          </w:p>
        </w:tc>
        <w:tc>
          <w:tcPr>
            <w:tcW w:w="2444" w:type="dxa"/>
            <w:tcBorders>
              <w:top w:val="single" w:sz="4" w:space="0" w:color="auto"/>
              <w:left w:val="single" w:sz="4" w:space="0" w:color="auto"/>
              <w:bottom w:val="single" w:sz="4" w:space="0" w:color="auto"/>
              <w:right w:val="single" w:sz="4" w:space="0" w:color="auto"/>
            </w:tcBorders>
            <w:hideMark/>
          </w:tcPr>
          <w:p w14:paraId="28B14840" w14:textId="77777777" w:rsidR="00681B46" w:rsidRPr="001032B6" w:rsidRDefault="00681B46" w:rsidP="00681B46">
            <w:pPr>
              <w:spacing w:before="220" w:after="220"/>
              <w:jc w:val="both"/>
              <w:rPr>
                <w:bCs/>
              </w:rPr>
            </w:pPr>
            <w:r w:rsidRPr="001032B6">
              <w:rPr>
                <w:bCs/>
              </w:rPr>
              <w:t>Identity &amp; Access Management</w:t>
            </w:r>
          </w:p>
        </w:tc>
        <w:tc>
          <w:tcPr>
            <w:tcW w:w="1412" w:type="dxa"/>
            <w:tcBorders>
              <w:top w:val="single" w:sz="4" w:space="0" w:color="auto"/>
              <w:left w:val="single" w:sz="4" w:space="0" w:color="auto"/>
              <w:bottom w:val="single" w:sz="4" w:space="0" w:color="auto"/>
              <w:right w:val="single" w:sz="4" w:space="0" w:color="auto"/>
            </w:tcBorders>
            <w:hideMark/>
          </w:tcPr>
          <w:p w14:paraId="342D9079" w14:textId="77777777" w:rsidR="00681B46" w:rsidRPr="001032B6" w:rsidRDefault="00681B46" w:rsidP="00681B46">
            <w:pPr>
              <w:spacing w:before="220" w:after="220"/>
              <w:jc w:val="both"/>
              <w:rPr>
                <w:bCs/>
              </w:rPr>
            </w:pPr>
            <w:r w:rsidRPr="001032B6">
              <w:rPr>
                <w:bCs/>
              </w:rPr>
              <w:t xml:space="preserve">ADDS and Entra </w:t>
            </w:r>
            <w:proofErr w:type="gramStart"/>
            <w:r w:rsidRPr="001032B6">
              <w:rPr>
                <w:bCs/>
              </w:rPr>
              <w:t>ID  -</w:t>
            </w:r>
            <w:proofErr w:type="gramEnd"/>
            <w:r w:rsidRPr="001032B6">
              <w:rPr>
                <w:bCs/>
              </w:rPr>
              <w:t xml:space="preserve"> 12 Domain controllers</w:t>
            </w:r>
          </w:p>
        </w:tc>
        <w:tc>
          <w:tcPr>
            <w:tcW w:w="1412" w:type="dxa"/>
            <w:tcBorders>
              <w:top w:val="single" w:sz="4" w:space="0" w:color="auto"/>
              <w:left w:val="single" w:sz="4" w:space="0" w:color="auto"/>
              <w:bottom w:val="single" w:sz="4" w:space="0" w:color="auto"/>
              <w:right w:val="single" w:sz="4" w:space="0" w:color="auto"/>
            </w:tcBorders>
            <w:hideMark/>
          </w:tcPr>
          <w:p w14:paraId="530C47E6" w14:textId="77777777" w:rsidR="00681B46" w:rsidRPr="001032B6" w:rsidRDefault="00681B46" w:rsidP="00681B46">
            <w:pPr>
              <w:spacing w:before="220" w:after="220"/>
              <w:jc w:val="both"/>
              <w:rPr>
                <w:bCs/>
              </w:rPr>
            </w:pPr>
            <w:r w:rsidRPr="001032B6">
              <w:rPr>
                <w:bCs/>
              </w:rPr>
              <w:t>Active Directory, 10 Domain controllers</w:t>
            </w:r>
          </w:p>
        </w:tc>
        <w:tc>
          <w:tcPr>
            <w:tcW w:w="2841" w:type="dxa"/>
            <w:tcBorders>
              <w:top w:val="single" w:sz="4" w:space="0" w:color="auto"/>
              <w:left w:val="single" w:sz="4" w:space="0" w:color="auto"/>
              <w:bottom w:val="single" w:sz="4" w:space="0" w:color="auto"/>
              <w:right w:val="single" w:sz="4" w:space="0" w:color="auto"/>
            </w:tcBorders>
            <w:hideMark/>
          </w:tcPr>
          <w:p w14:paraId="192F2982" w14:textId="77777777" w:rsidR="00681B46" w:rsidRPr="001032B6" w:rsidRDefault="00681B46" w:rsidP="00681B46">
            <w:pPr>
              <w:spacing w:before="220" w:after="220"/>
              <w:jc w:val="both"/>
              <w:rPr>
                <w:bCs/>
              </w:rPr>
            </w:pPr>
            <w:r w:rsidRPr="001032B6">
              <w:rPr>
                <w:bCs/>
              </w:rPr>
              <w:t>Hybrid environment</w:t>
            </w:r>
          </w:p>
        </w:tc>
      </w:tr>
    </w:tbl>
    <w:p w14:paraId="6E45CC0A" w14:textId="77777777" w:rsidR="00681B46" w:rsidRPr="001032B6" w:rsidRDefault="00681B46" w:rsidP="001032B6">
      <w:pPr>
        <w:spacing w:before="220" w:after="220"/>
        <w:ind w:left="720"/>
        <w:jc w:val="both"/>
        <w:rPr>
          <w:bCs/>
        </w:rPr>
      </w:pPr>
      <w:r w:rsidRPr="001032B6">
        <w:rPr>
          <w:bCs/>
        </w:rPr>
        <w:t xml:space="preserve">ARC/RRC based model for changing workloads: As JPS Health is actively migrating workloads from on premise to Azure, JPS will need an ARC/RRC based </w:t>
      </w:r>
      <w:proofErr w:type="gramStart"/>
      <w:r w:rsidRPr="001032B6">
        <w:rPr>
          <w:bCs/>
        </w:rPr>
        <w:t>element based</w:t>
      </w:r>
      <w:proofErr w:type="gramEnd"/>
      <w:r w:rsidRPr="001032B6">
        <w:rPr>
          <w:bCs/>
        </w:rPr>
        <w:t xml:space="preserve"> pricing from bidders.</w:t>
      </w:r>
    </w:p>
    <w:p w14:paraId="06B18510" w14:textId="77777777" w:rsidR="00681B46" w:rsidRPr="001032B6" w:rsidRDefault="00681B46" w:rsidP="00681B46">
      <w:pPr>
        <w:spacing w:before="220" w:after="220"/>
        <w:jc w:val="both"/>
        <w:rPr>
          <w:b/>
          <w:bCs/>
        </w:rPr>
      </w:pPr>
    </w:p>
    <w:p w14:paraId="634A59CD" w14:textId="0F7AA651" w:rsidR="00681B46" w:rsidRPr="001032B6" w:rsidRDefault="001032B6" w:rsidP="00681B46">
      <w:pPr>
        <w:spacing w:before="220" w:after="220"/>
        <w:jc w:val="both"/>
        <w:rPr>
          <w:bCs/>
        </w:rPr>
      </w:pPr>
      <w:r w:rsidRPr="001032B6">
        <w:rPr>
          <w:bCs/>
        </w:rPr>
        <w:t>4</w:t>
      </w:r>
      <w:r w:rsidR="00681B46" w:rsidRPr="001032B6">
        <w:rPr>
          <w:bCs/>
        </w:rPr>
        <w:t>.1 Automation Strategy and Roadmap</w:t>
      </w:r>
      <w:r w:rsidR="00681B46" w:rsidRPr="001032B6">
        <w:rPr>
          <w:b/>
          <w:bCs/>
        </w:rPr>
        <w:t xml:space="preserve">: </w:t>
      </w:r>
      <w:r w:rsidR="00681B46" w:rsidRPr="001032B6">
        <w:rPr>
          <w:bCs/>
        </w:rPr>
        <w:t>Vendor must describe its automation strategy for managing the Azure and Epic environments. At a minimum, the response must include:</w:t>
      </w:r>
    </w:p>
    <w:p w14:paraId="36640702" w14:textId="77777777" w:rsidR="00681B46" w:rsidRPr="001032B6" w:rsidRDefault="00681B46" w:rsidP="00681B46">
      <w:pPr>
        <w:numPr>
          <w:ilvl w:val="0"/>
          <w:numId w:val="20"/>
        </w:numPr>
        <w:spacing w:before="220" w:after="220"/>
        <w:jc w:val="both"/>
        <w:rPr>
          <w:bCs/>
        </w:rPr>
      </w:pPr>
      <w:r w:rsidRPr="001032B6">
        <w:rPr>
          <w:bCs/>
        </w:rPr>
        <w:t>Examples of automation currently deployed in production for other clients and the documented reduction in manual effort or incidents.</w:t>
      </w:r>
    </w:p>
    <w:p w14:paraId="366DA308" w14:textId="77777777" w:rsidR="00681B46" w:rsidRPr="001032B6" w:rsidRDefault="00681B46" w:rsidP="00681B46">
      <w:pPr>
        <w:numPr>
          <w:ilvl w:val="0"/>
          <w:numId w:val="20"/>
        </w:numPr>
        <w:spacing w:before="220" w:after="220"/>
        <w:jc w:val="both"/>
        <w:rPr>
          <w:bCs/>
        </w:rPr>
      </w:pPr>
      <w:r w:rsidRPr="001032B6">
        <w:rPr>
          <w:bCs/>
        </w:rPr>
        <w:t>The Vendor’s current percentage of incidents resolved through automation.</w:t>
      </w:r>
    </w:p>
    <w:p w14:paraId="27143270" w14:textId="77777777" w:rsidR="00681B46" w:rsidRPr="001032B6" w:rsidRDefault="00681B46" w:rsidP="00681B46">
      <w:pPr>
        <w:numPr>
          <w:ilvl w:val="0"/>
          <w:numId w:val="20"/>
        </w:numPr>
        <w:spacing w:before="220" w:after="220"/>
        <w:jc w:val="both"/>
        <w:rPr>
          <w:bCs/>
        </w:rPr>
      </w:pPr>
      <w:r w:rsidRPr="001032B6">
        <w:rPr>
          <w:bCs/>
        </w:rPr>
        <w:t>A planned automation roadmap for Year 1 and Year 2 focused on patching, provisioning, monitoring, DR validation, and security enforcement.</w:t>
      </w:r>
    </w:p>
    <w:p w14:paraId="1D4A9C8A" w14:textId="77777777" w:rsidR="007B19E8" w:rsidRDefault="00681B46" w:rsidP="007B19E8">
      <w:pPr>
        <w:numPr>
          <w:ilvl w:val="0"/>
          <w:numId w:val="20"/>
        </w:numPr>
        <w:spacing w:before="220" w:after="220"/>
        <w:jc w:val="both"/>
        <w:rPr>
          <w:bCs/>
        </w:rPr>
      </w:pPr>
      <w:r w:rsidRPr="001032B6">
        <w:rPr>
          <w:bCs/>
        </w:rPr>
        <w:t>The toolsets used to support automation and the level of operational visibility provided to JPS.</w:t>
      </w:r>
    </w:p>
    <w:p w14:paraId="69021EE7" w14:textId="03D13CDE" w:rsidR="00681B46" w:rsidRPr="007B19E8" w:rsidRDefault="00681B46" w:rsidP="007B19E8">
      <w:pPr>
        <w:pStyle w:val="ListParagraph"/>
        <w:numPr>
          <w:ilvl w:val="1"/>
          <w:numId w:val="30"/>
        </w:numPr>
        <w:spacing w:before="220" w:after="220"/>
        <w:jc w:val="both"/>
        <w:rPr>
          <w:bCs/>
        </w:rPr>
      </w:pPr>
      <w:r w:rsidRPr="007B19E8">
        <w:rPr>
          <w:b/>
          <w:bCs/>
          <w:highlight w:val="yellow"/>
        </w:rPr>
        <w:t>Proposal Response Format and Pricing</w:t>
      </w:r>
    </w:p>
    <w:p w14:paraId="11687DFB" w14:textId="77777777" w:rsidR="00681B46" w:rsidRPr="00681B46" w:rsidRDefault="00681B46" w:rsidP="00681B46">
      <w:pPr>
        <w:spacing w:before="220" w:after="220"/>
        <w:jc w:val="both"/>
        <w:rPr>
          <w:bCs/>
          <w:highlight w:val="yellow"/>
        </w:rPr>
      </w:pPr>
      <w:r w:rsidRPr="00681B46">
        <w:rPr>
          <w:bCs/>
          <w:highlight w:val="yellow"/>
        </w:rPr>
        <w:t>The Vendor's proposal must include the following sections:</w:t>
      </w:r>
    </w:p>
    <w:p w14:paraId="70B5B589" w14:textId="77777777" w:rsidR="00681B46" w:rsidRPr="00681B46" w:rsidRDefault="00681B46" w:rsidP="00681B46">
      <w:pPr>
        <w:numPr>
          <w:ilvl w:val="0"/>
          <w:numId w:val="21"/>
        </w:numPr>
        <w:spacing w:before="220" w:after="220"/>
        <w:jc w:val="both"/>
        <w:rPr>
          <w:bCs/>
          <w:highlight w:val="yellow"/>
        </w:rPr>
      </w:pPr>
      <w:r w:rsidRPr="00681B46">
        <w:rPr>
          <w:bCs/>
          <w:highlight w:val="yellow"/>
        </w:rPr>
        <w:t>Executive Summary: A concise overview of the proposed solution and value proposition (Max 3 pages).</w:t>
      </w:r>
    </w:p>
    <w:p w14:paraId="0602412F" w14:textId="77777777" w:rsidR="00681B46" w:rsidRPr="00681B46" w:rsidRDefault="00681B46" w:rsidP="00681B46">
      <w:pPr>
        <w:numPr>
          <w:ilvl w:val="0"/>
          <w:numId w:val="21"/>
        </w:numPr>
        <w:spacing w:before="220" w:after="220"/>
        <w:jc w:val="both"/>
        <w:rPr>
          <w:bCs/>
          <w:highlight w:val="yellow"/>
        </w:rPr>
      </w:pPr>
      <w:r w:rsidRPr="00681B46">
        <w:rPr>
          <w:bCs/>
          <w:highlight w:val="yellow"/>
        </w:rPr>
        <w:t>Vendor Qualifications and Experience: Evidence of certifications, Epic-on-Azure references, and industry-specific expertise.</w:t>
      </w:r>
    </w:p>
    <w:p w14:paraId="1F8B57A8" w14:textId="77777777" w:rsidR="00681B46" w:rsidRPr="00681B46" w:rsidRDefault="00681B46" w:rsidP="00681B46">
      <w:pPr>
        <w:numPr>
          <w:ilvl w:val="0"/>
          <w:numId w:val="21"/>
        </w:numPr>
        <w:spacing w:before="220" w:after="220"/>
        <w:jc w:val="both"/>
        <w:rPr>
          <w:bCs/>
          <w:highlight w:val="yellow"/>
        </w:rPr>
      </w:pPr>
      <w:r w:rsidRPr="00681B46">
        <w:rPr>
          <w:bCs/>
          <w:highlight w:val="yellow"/>
        </w:rPr>
        <w:t>Vendor Controls Demonstration</w:t>
      </w:r>
    </w:p>
    <w:p w14:paraId="7A210EE9" w14:textId="77777777" w:rsidR="007B19E8" w:rsidRDefault="00681B46" w:rsidP="007B19E8">
      <w:pPr>
        <w:pStyle w:val="ListParagraph"/>
        <w:numPr>
          <w:ilvl w:val="1"/>
          <w:numId w:val="21"/>
        </w:numPr>
        <w:spacing w:before="220" w:after="220"/>
        <w:jc w:val="both"/>
        <w:rPr>
          <w:bCs/>
          <w:highlight w:val="yellow"/>
        </w:rPr>
      </w:pPr>
      <w:r w:rsidRPr="007B19E8">
        <w:rPr>
          <w:bCs/>
          <w:highlight w:val="yellow"/>
        </w:rPr>
        <w:t>The Vendor must demonstrate their methodology for managing the Azure environment is fully aligned with the Microsoft Well-Architected Framework (WAF). Provide details of how WAF principles (i.e., Cost Optimization, Performance Efficiency, Reliability, Operational Excellence, and Security) will be continuously monitored, implemented, and reported on, providing a formal WAF review as part of the monthly service reporting package.</w:t>
      </w:r>
    </w:p>
    <w:p w14:paraId="301B1A83" w14:textId="77777777" w:rsidR="007B19E8" w:rsidRDefault="00681B46" w:rsidP="007B19E8">
      <w:pPr>
        <w:pStyle w:val="ListParagraph"/>
        <w:numPr>
          <w:ilvl w:val="1"/>
          <w:numId w:val="21"/>
        </w:numPr>
        <w:spacing w:before="220" w:after="220"/>
        <w:jc w:val="both"/>
        <w:rPr>
          <w:bCs/>
          <w:highlight w:val="yellow"/>
        </w:rPr>
      </w:pPr>
      <w:r w:rsidRPr="007B19E8">
        <w:rPr>
          <w:bCs/>
          <w:highlight w:val="yellow"/>
        </w:rPr>
        <w:t xml:space="preserve">The Vendor must clearly describe the process and tools used to manage and enforce JPS’s security policies, including compliance with relevant healthcare regulations (e.g., HIPAA). The proposal must confirm the use of Microsoft Defender for Cloud and Azure Policy to </w:t>
      </w:r>
      <w:r w:rsidRPr="007B19E8">
        <w:rPr>
          <w:bCs/>
          <w:highlight w:val="yellow"/>
        </w:rPr>
        <w:lastRenderedPageBreak/>
        <w:t>maintain a proactive and hardened security posture based on the Microsoft Cloud Security Benchmark.</w:t>
      </w:r>
    </w:p>
    <w:p w14:paraId="0FA65870" w14:textId="77777777" w:rsidR="007B19E8" w:rsidRDefault="00681B46" w:rsidP="007B19E8">
      <w:pPr>
        <w:pStyle w:val="ListParagraph"/>
        <w:numPr>
          <w:ilvl w:val="1"/>
          <w:numId w:val="21"/>
        </w:numPr>
        <w:spacing w:before="220" w:after="220"/>
        <w:jc w:val="both"/>
        <w:rPr>
          <w:bCs/>
          <w:highlight w:val="yellow"/>
        </w:rPr>
      </w:pPr>
      <w:r w:rsidRPr="007B19E8">
        <w:rPr>
          <w:bCs/>
          <w:highlight w:val="yellow"/>
        </w:rPr>
        <w:t>Define the frequency (minimum monthly) and process for internal vulnerability scanning of all managed IaaS components, including the mechanism for escalating and remediating P1 vulnerabilities within 7 days of notification.</w:t>
      </w:r>
    </w:p>
    <w:p w14:paraId="0A6408A0" w14:textId="7906A9A0" w:rsidR="00681B46" w:rsidRPr="007B19E8" w:rsidRDefault="00681B46" w:rsidP="007B19E8">
      <w:pPr>
        <w:pStyle w:val="ListParagraph"/>
        <w:numPr>
          <w:ilvl w:val="1"/>
          <w:numId w:val="21"/>
        </w:numPr>
        <w:spacing w:before="220" w:after="220"/>
        <w:jc w:val="both"/>
        <w:rPr>
          <w:bCs/>
          <w:highlight w:val="yellow"/>
        </w:rPr>
      </w:pPr>
      <w:r w:rsidRPr="007B19E8">
        <w:rPr>
          <w:bCs/>
          <w:highlight w:val="yellow"/>
        </w:rPr>
        <w:t>Detail the integration with JPS Health’s Security Information and Event Management (SIEM) system. Confirm the Vendor is responsible for 24/7 Level 1 security alert triage and initial incident response for all Azure security findings</w:t>
      </w:r>
    </w:p>
    <w:p w14:paraId="3AABAB68" w14:textId="77777777" w:rsidR="00681B46" w:rsidRPr="00681B46" w:rsidRDefault="00681B46" w:rsidP="00681B46">
      <w:pPr>
        <w:numPr>
          <w:ilvl w:val="0"/>
          <w:numId w:val="21"/>
        </w:numPr>
        <w:spacing w:before="220" w:after="220"/>
        <w:jc w:val="both"/>
        <w:rPr>
          <w:bCs/>
          <w:highlight w:val="yellow"/>
        </w:rPr>
      </w:pPr>
      <w:r w:rsidRPr="00681B46">
        <w:rPr>
          <w:bCs/>
          <w:highlight w:val="yellow"/>
        </w:rPr>
        <w:t>Detailed Statement of Work (SOW): A comprehensive, task-level definition of the service delivery model (Section 4), including a detailed Migration and Transition Plan from the existing data center to Azure (Professional Services).</w:t>
      </w:r>
    </w:p>
    <w:p w14:paraId="66DB80FB" w14:textId="77777777" w:rsidR="00681B46" w:rsidRPr="00681B46" w:rsidRDefault="00681B46" w:rsidP="00681B46">
      <w:pPr>
        <w:numPr>
          <w:ilvl w:val="0"/>
          <w:numId w:val="21"/>
        </w:numPr>
        <w:spacing w:before="220" w:after="220"/>
        <w:jc w:val="both"/>
        <w:rPr>
          <w:bCs/>
          <w:highlight w:val="yellow"/>
        </w:rPr>
      </w:pPr>
      <w:r w:rsidRPr="00681B46">
        <w:rPr>
          <w:bCs/>
          <w:highlight w:val="yellow"/>
        </w:rPr>
        <w:t xml:space="preserve">Service Level Agreements (SLAs): A committed table covering all KPIs (Section 3) and general operational metrics (e.g., P1/P2/P3 incident response times, </w:t>
      </w:r>
      <w:proofErr w:type="spellStart"/>
      <w:r w:rsidRPr="00681B46">
        <w:rPr>
          <w:bCs/>
          <w:highlight w:val="yellow"/>
        </w:rPr>
        <w:t>MTTx</w:t>
      </w:r>
      <w:proofErr w:type="spellEnd"/>
      <w:r w:rsidRPr="00681B46">
        <w:rPr>
          <w:bCs/>
          <w:highlight w:val="yellow"/>
        </w:rPr>
        <w:t>).</w:t>
      </w:r>
    </w:p>
    <w:p w14:paraId="0DF012F9" w14:textId="77777777" w:rsidR="00681B46" w:rsidRPr="007B19E8" w:rsidRDefault="00681B46" w:rsidP="007B19E8">
      <w:pPr>
        <w:pStyle w:val="ListParagraph"/>
        <w:numPr>
          <w:ilvl w:val="0"/>
          <w:numId w:val="32"/>
        </w:numPr>
        <w:spacing w:before="220" w:after="220"/>
        <w:jc w:val="both"/>
        <w:rPr>
          <w:bCs/>
          <w:highlight w:val="yellow"/>
        </w:rPr>
      </w:pPr>
      <w:r w:rsidRPr="007B19E8">
        <w:rPr>
          <w:bCs/>
          <w:highlight w:val="yellow"/>
        </w:rPr>
        <w:t>Clarify the process by which JPS notifies the Vendor of an SLA failure and the required timeframe for the Vendor to apply the corresponding service credit (maximum 30 days).</w:t>
      </w:r>
    </w:p>
    <w:p w14:paraId="4E14A29D" w14:textId="77777777" w:rsidR="00681B46" w:rsidRPr="00681B46" w:rsidRDefault="00681B46" w:rsidP="00681B46">
      <w:pPr>
        <w:numPr>
          <w:ilvl w:val="0"/>
          <w:numId w:val="21"/>
        </w:numPr>
        <w:spacing w:before="220" w:after="220"/>
        <w:jc w:val="both"/>
        <w:rPr>
          <w:bCs/>
          <w:highlight w:val="yellow"/>
        </w:rPr>
      </w:pPr>
      <w:r w:rsidRPr="00681B46">
        <w:rPr>
          <w:bCs/>
          <w:highlight w:val="yellow"/>
        </w:rPr>
        <w:t>FinOps: Vendor must provide a FinOps plan that establishes clear, measurable outcomes. The plan must include:</w:t>
      </w:r>
    </w:p>
    <w:p w14:paraId="08AF37CE" w14:textId="77777777" w:rsidR="00681B46" w:rsidRPr="00681B46" w:rsidRDefault="00681B46" w:rsidP="00681B46">
      <w:pPr>
        <w:numPr>
          <w:ilvl w:val="0"/>
          <w:numId w:val="24"/>
        </w:numPr>
        <w:spacing w:before="220" w:after="220"/>
        <w:jc w:val="both"/>
        <w:rPr>
          <w:bCs/>
          <w:highlight w:val="yellow"/>
        </w:rPr>
      </w:pPr>
      <w:r w:rsidRPr="00681B46">
        <w:rPr>
          <w:bCs/>
          <w:highlight w:val="yellow"/>
        </w:rPr>
        <w:t>Monthly Azure cost forecast accuracy measured against actuals, with defined variance thresholds.</w:t>
      </w:r>
    </w:p>
    <w:p w14:paraId="44FC9A59" w14:textId="77777777" w:rsidR="00681B46" w:rsidRPr="00681B46" w:rsidRDefault="00681B46" w:rsidP="00681B46">
      <w:pPr>
        <w:numPr>
          <w:ilvl w:val="0"/>
          <w:numId w:val="24"/>
        </w:numPr>
        <w:spacing w:before="220" w:after="220"/>
        <w:jc w:val="both"/>
        <w:rPr>
          <w:bCs/>
          <w:highlight w:val="yellow"/>
        </w:rPr>
      </w:pPr>
      <w:r w:rsidRPr="00681B46">
        <w:rPr>
          <w:bCs/>
          <w:highlight w:val="yellow"/>
        </w:rPr>
        <w:t>A standardized cost optimization report that includes rightsizing, idle resource elimination, waste reduction, and anomaly detection findings.</w:t>
      </w:r>
    </w:p>
    <w:p w14:paraId="29BA313C" w14:textId="77777777" w:rsidR="00681B46" w:rsidRPr="00681B46" w:rsidRDefault="00681B46" w:rsidP="00681B46">
      <w:pPr>
        <w:numPr>
          <w:ilvl w:val="0"/>
          <w:numId w:val="24"/>
        </w:numPr>
        <w:spacing w:before="220" w:after="220"/>
        <w:jc w:val="both"/>
        <w:rPr>
          <w:bCs/>
          <w:highlight w:val="yellow"/>
        </w:rPr>
      </w:pPr>
      <w:r w:rsidRPr="00681B46">
        <w:rPr>
          <w:bCs/>
          <w:highlight w:val="yellow"/>
        </w:rPr>
        <w:t>Direct access for JPS Health to all FinOps dashboards and reporting tools used by the Vendor.</w:t>
      </w:r>
    </w:p>
    <w:p w14:paraId="66FF89A9" w14:textId="77777777" w:rsidR="00681B46" w:rsidRPr="00681B46" w:rsidRDefault="00681B46" w:rsidP="00681B46">
      <w:pPr>
        <w:numPr>
          <w:ilvl w:val="0"/>
          <w:numId w:val="24"/>
        </w:numPr>
        <w:spacing w:before="220" w:after="220"/>
        <w:jc w:val="both"/>
        <w:rPr>
          <w:bCs/>
          <w:highlight w:val="yellow"/>
        </w:rPr>
      </w:pPr>
      <w:r w:rsidRPr="00681B46">
        <w:rPr>
          <w:bCs/>
          <w:highlight w:val="yellow"/>
        </w:rPr>
        <w:t>A defined process and timeline for reviewing, approving, and implementing optimization recommendations.</w:t>
      </w:r>
    </w:p>
    <w:p w14:paraId="74510171" w14:textId="77777777" w:rsidR="00681B46" w:rsidRPr="00681B46" w:rsidRDefault="00681B46" w:rsidP="00681B46">
      <w:pPr>
        <w:numPr>
          <w:ilvl w:val="0"/>
          <w:numId w:val="21"/>
        </w:numPr>
        <w:spacing w:before="220" w:after="220"/>
        <w:jc w:val="both"/>
        <w:rPr>
          <w:bCs/>
          <w:highlight w:val="yellow"/>
        </w:rPr>
      </w:pPr>
      <w:r w:rsidRPr="00681B46">
        <w:rPr>
          <w:bCs/>
          <w:highlight w:val="yellow"/>
        </w:rPr>
        <w:t>Pricing and Cost Structure: A transparent, detailed pricing model that aligns with common industry structures. Vendors must provide indicative rates and fee structures based on the following models:</w:t>
      </w:r>
    </w:p>
    <w:p w14:paraId="62B13F37" w14:textId="77777777" w:rsidR="00681B46" w:rsidRPr="00681B46" w:rsidRDefault="00681B46" w:rsidP="00681B46">
      <w:pPr>
        <w:numPr>
          <w:ilvl w:val="0"/>
          <w:numId w:val="25"/>
        </w:numPr>
        <w:spacing w:before="220" w:after="220"/>
        <w:jc w:val="both"/>
        <w:rPr>
          <w:bCs/>
          <w:highlight w:val="yellow"/>
        </w:rPr>
      </w:pPr>
      <w:r w:rsidRPr="00681B46">
        <w:rPr>
          <w:bCs/>
          <w:highlight w:val="yellow"/>
        </w:rPr>
        <w:t>Fixed Monthly Fee: For comprehensive L1-L3 managed services.</w:t>
      </w:r>
    </w:p>
    <w:p w14:paraId="44D301DD" w14:textId="77777777" w:rsidR="00681B46" w:rsidRPr="00681B46" w:rsidRDefault="00681B46" w:rsidP="00681B46">
      <w:pPr>
        <w:numPr>
          <w:ilvl w:val="0"/>
          <w:numId w:val="25"/>
        </w:numPr>
        <w:spacing w:before="220" w:after="220"/>
        <w:jc w:val="both"/>
        <w:rPr>
          <w:bCs/>
          <w:highlight w:val="yellow"/>
        </w:rPr>
      </w:pPr>
      <w:r w:rsidRPr="00681B46">
        <w:rPr>
          <w:bCs/>
          <w:highlight w:val="yellow"/>
        </w:rPr>
        <w:t xml:space="preserve">Flat Rate per Resource Unit: Pricing for managing common resources (e.g., per VM, per TB of storage, per </w:t>
      </w:r>
      <w:proofErr w:type="spellStart"/>
      <w:r w:rsidRPr="00681B46">
        <w:rPr>
          <w:bCs/>
          <w:highlight w:val="yellow"/>
        </w:rPr>
        <w:t>vNet</w:t>
      </w:r>
      <w:proofErr w:type="spellEnd"/>
      <w:r w:rsidRPr="00681B46">
        <w:rPr>
          <w:bCs/>
          <w:highlight w:val="yellow"/>
        </w:rPr>
        <w:t>).</w:t>
      </w:r>
    </w:p>
    <w:p w14:paraId="6DFB4FCD" w14:textId="77777777" w:rsidR="00681B46" w:rsidRPr="00681B46" w:rsidRDefault="00681B46" w:rsidP="00681B46">
      <w:pPr>
        <w:numPr>
          <w:ilvl w:val="0"/>
          <w:numId w:val="25"/>
        </w:numPr>
        <w:spacing w:before="220" w:after="220"/>
        <w:jc w:val="both"/>
        <w:rPr>
          <w:bCs/>
          <w:highlight w:val="yellow"/>
        </w:rPr>
      </w:pPr>
      <w:r w:rsidRPr="00681B46">
        <w:rPr>
          <w:bCs/>
          <w:highlight w:val="yellow"/>
        </w:rPr>
        <w:t>Percentage of Cloud Spend: A model where the managed service fee is a percentage of the total Azure consumption.</w:t>
      </w:r>
    </w:p>
    <w:p w14:paraId="5D31677A" w14:textId="77777777" w:rsidR="00681B46" w:rsidRPr="00681B46" w:rsidRDefault="00681B46" w:rsidP="00681B46">
      <w:pPr>
        <w:numPr>
          <w:ilvl w:val="0"/>
          <w:numId w:val="25"/>
        </w:numPr>
        <w:spacing w:before="220" w:after="220"/>
        <w:jc w:val="both"/>
        <w:rPr>
          <w:bCs/>
          <w:highlight w:val="yellow"/>
        </w:rPr>
      </w:pPr>
      <w:r w:rsidRPr="00681B46">
        <w:rPr>
          <w:bCs/>
          <w:highlight w:val="yellow"/>
        </w:rPr>
        <w:t xml:space="preserve">Total Cost of Ownership (TCO) projection over five years. Include a detailed, line-item breakdown of all recurring costs (Managed Service Fee, Azure Consumption, Licensing, Third-Party Tools) and all one-time costs (Migration, Professional Services) for the five-year term. </w:t>
      </w:r>
    </w:p>
    <w:p w14:paraId="4B5BA4D6" w14:textId="77777777" w:rsidR="00681B46" w:rsidRPr="00681B46" w:rsidRDefault="00681B46" w:rsidP="00681B46">
      <w:pPr>
        <w:numPr>
          <w:ilvl w:val="0"/>
          <w:numId w:val="25"/>
        </w:numPr>
        <w:spacing w:before="220" w:after="220"/>
        <w:jc w:val="both"/>
        <w:rPr>
          <w:bCs/>
          <w:highlight w:val="yellow"/>
        </w:rPr>
      </w:pPr>
      <w:r w:rsidRPr="00681B46">
        <w:rPr>
          <w:bCs/>
          <w:highlight w:val="yellow"/>
        </w:rPr>
        <w:t>Hourly Rates for Resources: A detailed rate card for all professional services resources (e.g., architects, engineers) for ad-hoc and project-based engagements.</w:t>
      </w:r>
    </w:p>
    <w:p w14:paraId="15CF86B4" w14:textId="77777777" w:rsidR="00681B46" w:rsidRPr="00681B46" w:rsidRDefault="00681B46" w:rsidP="00681B46">
      <w:pPr>
        <w:numPr>
          <w:ilvl w:val="0"/>
          <w:numId w:val="25"/>
        </w:numPr>
        <w:spacing w:before="220" w:after="220"/>
        <w:jc w:val="both"/>
        <w:rPr>
          <w:bCs/>
          <w:highlight w:val="yellow"/>
        </w:rPr>
      </w:pPr>
      <w:r w:rsidRPr="00681B46">
        <w:rPr>
          <w:bCs/>
          <w:highlight w:val="yellow"/>
        </w:rPr>
        <w:lastRenderedPageBreak/>
        <w:t>The Managed Service Provider (MSP) must commit to a quarterly Azure consumption review and propose specific, measurable, and documented cost-saving recommendations. The proposed fee structure must clearly detail the incentive for the MSP to drive down the net cost of Azure consumption for JPS, aligning the vendor’s profitability with our cost savings.</w:t>
      </w:r>
    </w:p>
    <w:p w14:paraId="556F5C84" w14:textId="77777777" w:rsidR="00681B46" w:rsidRPr="00681B46" w:rsidRDefault="00681B46" w:rsidP="00681B46">
      <w:pPr>
        <w:numPr>
          <w:ilvl w:val="0"/>
          <w:numId w:val="21"/>
        </w:numPr>
        <w:spacing w:before="220" w:after="220"/>
        <w:jc w:val="both"/>
        <w:rPr>
          <w:bCs/>
          <w:highlight w:val="yellow"/>
        </w:rPr>
      </w:pPr>
      <w:r w:rsidRPr="00681B46">
        <w:rPr>
          <w:bCs/>
          <w:highlight w:val="yellow"/>
        </w:rPr>
        <w:t>Contracting Terms and Conditions:</w:t>
      </w:r>
    </w:p>
    <w:p w14:paraId="2C3D057A" w14:textId="77777777" w:rsidR="00681B46" w:rsidRPr="00681B46" w:rsidRDefault="00681B46" w:rsidP="00681B46">
      <w:pPr>
        <w:numPr>
          <w:ilvl w:val="0"/>
          <w:numId w:val="26"/>
        </w:numPr>
        <w:spacing w:before="220" w:after="220"/>
        <w:jc w:val="both"/>
        <w:rPr>
          <w:bCs/>
          <w:highlight w:val="yellow"/>
        </w:rPr>
      </w:pPr>
      <w:r w:rsidRPr="00681B46">
        <w:rPr>
          <w:bCs/>
          <w:highlight w:val="yellow"/>
        </w:rPr>
        <w:t>Preferred Contracting Approach: Describe your preferred contracting vehicle (e.g., Master Service Agreement (MSA) supplemented by individual Statements of Work (SOWs)) and explain why.</w:t>
      </w:r>
    </w:p>
    <w:p w14:paraId="3C07E4C6" w14:textId="77777777" w:rsidR="00681B46" w:rsidRPr="00681B46" w:rsidRDefault="00681B46" w:rsidP="00681B46">
      <w:pPr>
        <w:numPr>
          <w:ilvl w:val="0"/>
          <w:numId w:val="26"/>
        </w:numPr>
        <w:spacing w:before="220" w:after="220"/>
        <w:jc w:val="both"/>
        <w:rPr>
          <w:bCs/>
          <w:highlight w:val="yellow"/>
        </w:rPr>
      </w:pPr>
      <w:r w:rsidRPr="00681B46">
        <w:rPr>
          <w:bCs/>
          <w:highlight w:val="yellow"/>
        </w:rPr>
        <w:t>Standard Documents: Please supply copies of your most recent standard MSA and SOW templates for review as a mandatory appendix.</w:t>
      </w:r>
    </w:p>
    <w:p w14:paraId="15E05666" w14:textId="77777777" w:rsidR="00681B46" w:rsidRPr="00681B46" w:rsidRDefault="00681B46" w:rsidP="00681B46">
      <w:pPr>
        <w:numPr>
          <w:ilvl w:val="0"/>
          <w:numId w:val="26"/>
        </w:numPr>
        <w:spacing w:before="220" w:after="220"/>
        <w:jc w:val="both"/>
        <w:rPr>
          <w:bCs/>
          <w:highlight w:val="yellow"/>
        </w:rPr>
      </w:pPr>
      <w:r w:rsidRPr="00681B46">
        <w:rPr>
          <w:bCs/>
          <w:highlight w:val="yellow"/>
        </w:rPr>
        <w:t>Service Provider Exit Plan: Provide a high-level description of your standard off-boarding and transition methodology (e.g., knowledge transfer) to be executed upon contract termination.</w:t>
      </w:r>
    </w:p>
    <w:p w14:paraId="5A5F520E" w14:textId="77777777" w:rsidR="00681B46" w:rsidRPr="00681B46" w:rsidRDefault="00681B46" w:rsidP="00681B46">
      <w:pPr>
        <w:numPr>
          <w:ilvl w:val="0"/>
          <w:numId w:val="26"/>
        </w:numPr>
        <w:spacing w:before="220" w:after="220"/>
        <w:jc w:val="both"/>
        <w:rPr>
          <w:bCs/>
          <w:highlight w:val="yellow"/>
        </w:rPr>
      </w:pPr>
      <w:r w:rsidRPr="00681B46">
        <w:rPr>
          <w:bCs/>
          <w:highlight w:val="yellow"/>
        </w:rPr>
        <w:t>To mitigate contract risk and ensure fair pricing, JPS reserves the right to periodically (e.g., annually) audit the vendor's billing records related to variable resource unit counts or cloud spend. Furthermore, the contract must include a clause allowing JPS Health to benchmark the MSP’s service rates against prevailing market rates at renewal checkpoints to ensure continued competitiveness and fair pricing.</w:t>
      </w:r>
    </w:p>
    <w:p w14:paraId="2A780C91" w14:textId="77777777" w:rsidR="00681B46" w:rsidRPr="00681B46" w:rsidRDefault="00681B46" w:rsidP="00681B46">
      <w:pPr>
        <w:spacing w:before="220" w:after="220"/>
        <w:jc w:val="both"/>
        <w:rPr>
          <w:bCs/>
          <w:highlight w:val="yellow"/>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82"/>
      <w:bookmarkEnd w:id="83"/>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51"/>
      <w:bookmarkStart w:id="85" w:name="_BPDC_PR_INS_1152"/>
      <w:bookmarkEnd w:id="84"/>
      <w:bookmarkEnd w:id="85"/>
      <w:r w:rsidRPr="009A3EA6">
        <w:rPr>
          <w:rFonts w:cs="Times New Roman"/>
          <w:b/>
          <w:szCs w:val="22"/>
          <w:u w:val="single"/>
          <w:lang w:eastAsia="ar-SA"/>
        </w:rPr>
        <w:lastRenderedPageBreak/>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6" w:name="_BPDC_LN_INS_1149"/>
      <w:bookmarkStart w:id="87" w:name="_BPDC_PR_INS_1150"/>
      <w:bookmarkEnd w:id="86"/>
      <w:bookmarkEnd w:id="87"/>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8" w:name="_BPDC_LN_INS_1147"/>
      <w:bookmarkStart w:id="89" w:name="_BPDC_PR_INS_1148"/>
      <w:bookmarkStart w:id="90" w:name="_Ref46998358"/>
      <w:bookmarkEnd w:id="88"/>
      <w:bookmarkEnd w:id="89"/>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90"/>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1" w:name="_BPDC_LN_INS_1145"/>
      <w:bookmarkStart w:id="92" w:name="_BPDC_PR_INS_1146"/>
      <w:bookmarkStart w:id="93" w:name="_BPDC_LN_INS_1143"/>
      <w:bookmarkStart w:id="94" w:name="_BPDC_PR_INS_1144"/>
      <w:bookmarkStart w:id="95" w:name="_Ref66700330"/>
      <w:bookmarkEnd w:id="91"/>
      <w:bookmarkEnd w:id="92"/>
      <w:bookmarkEnd w:id="93"/>
      <w:bookmarkEnd w:id="94"/>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5"/>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6"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w:t>
      </w:r>
      <w:r w:rsidR="00C13C06">
        <w:rPr>
          <w:rFonts w:cs="Times New Roman"/>
          <w:szCs w:val="22"/>
        </w:rPr>
        <w:lastRenderedPageBreak/>
        <w:t>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6"/>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roofErr w:type="gramStart"/>
      <w:r w:rsidRPr="009A3EA6">
        <w:rPr>
          <w:rFonts w:cs="Times New Roman"/>
          <w:szCs w:val="22"/>
          <w:highlight w:val="yellow"/>
        </w:rPr>
        <w:t xml:space="preserve">. </w:t>
      </w:r>
      <w:r w:rsidRPr="009A3EA6">
        <w:rPr>
          <w:rFonts w:cs="Times New Roman"/>
          <w:szCs w:val="22"/>
        </w:rPr>
        <w:t>]</w:t>
      </w:r>
      <w:proofErr w:type="gramEnd"/>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77777777"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r w:rsidRPr="009A3EA6">
        <w:rPr>
          <w:rFonts w:cs="Times New Roman"/>
          <w:szCs w:val="22"/>
        </w:rPr>
        <w:t>]</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77777777"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C308C54" w:rsidR="00EC7C8E" w:rsidRPr="009A3EA6" w:rsidRDefault="00EC7C8E" w:rsidP="005E1528">
      <w:pPr>
        <w:tabs>
          <w:tab w:val="left" w:pos="1080"/>
        </w:tabs>
        <w:spacing w:after="120"/>
        <w:jc w:val="both"/>
        <w:rPr>
          <w:rFonts w:cs="Times New Roman"/>
          <w:szCs w:val="22"/>
        </w:rPr>
      </w:pP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7" w:name="_BPDC_LN_INS_1139"/>
      <w:bookmarkStart w:id="98" w:name="_BPDC_PR_INS_1140"/>
      <w:bookmarkEnd w:id="97"/>
      <w:bookmarkEnd w:id="98"/>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33F54D47" w:rsidR="00EC7C8E" w:rsidRPr="009A3EA6" w:rsidRDefault="00EC7C8E" w:rsidP="00EC7C8E">
            <w:pPr>
              <w:keepNext/>
              <w:keepLines/>
              <w:tabs>
                <w:tab w:val="left" w:pos="-720"/>
              </w:tabs>
              <w:suppressAutoHyphens/>
              <w:jc w:val="center"/>
              <w:rPr>
                <w:rFonts w:cs="Times New Roman"/>
                <w:b/>
                <w:sz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460A4968"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38085F29"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50AC98A4" w:rsidR="00EC7C8E" w:rsidRPr="009A3EA6" w:rsidRDefault="00EC7C8E" w:rsidP="00EC7C8E">
            <w:pPr>
              <w:keepNext/>
              <w:keepLines/>
              <w:tabs>
                <w:tab w:val="left" w:pos="-720"/>
              </w:tabs>
              <w:suppressAutoHyphens/>
              <w:jc w:val="center"/>
              <w:rPr>
                <w:rFonts w:cs="Times New Roman"/>
                <w:b/>
                <w:bCs/>
                <w:sz w:val="32"/>
                <w:szCs w:val="32"/>
              </w:rPr>
            </w:pPr>
            <w:r w:rsidRPr="009A3EA6">
              <w:rPr>
                <w:rFonts w:cs="Times New Roman"/>
                <w:b/>
                <w:sz w:val="32"/>
                <w:highlight w:val="yellow"/>
              </w:rPr>
              <w:t>_</w:t>
            </w:r>
            <w:r w:rsidR="007B19E8">
              <w:rPr>
                <w:rFonts w:cs="Times New Roman"/>
                <w:b/>
                <w:sz w:val="32"/>
                <w:highlight w:val="yellow"/>
              </w:rPr>
              <w:t>25</w:t>
            </w:r>
            <w:r w:rsidRPr="009A3EA6">
              <w:rPr>
                <w:rFonts w:cs="Times New Roman"/>
                <w:b/>
                <w:sz w:val="32"/>
                <w:highlight w:val="yellow"/>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6D29B93" w:rsidR="00EC7C8E" w:rsidRPr="009A3EA6" w:rsidRDefault="00D56D59" w:rsidP="00EC7C8E">
            <w:pPr>
              <w:tabs>
                <w:tab w:val="left" w:pos="-720"/>
              </w:tabs>
              <w:suppressAutoHyphens/>
              <w:jc w:val="center"/>
              <w:rPr>
                <w:rFonts w:cs="Times New Roman"/>
                <w:b/>
                <w:szCs w:val="22"/>
              </w:rPr>
            </w:pPr>
            <w:r w:rsidRPr="00D56D59">
              <w:rPr>
                <w:rFonts w:cs="Times New Roman"/>
                <w:sz w:val="32"/>
                <w:szCs w:val="28"/>
              </w:rPr>
              <w:t>RFP#2025</w:t>
            </w:r>
            <w:r w:rsidRPr="00D56D59">
              <w:rPr>
                <w:rFonts w:cs="Times New Roman"/>
                <w:bCs/>
                <w:sz w:val="32"/>
                <w:szCs w:val="28"/>
              </w:rPr>
              <w:t>1357015</w:t>
            </w:r>
            <w:r w:rsidRPr="00D56D59">
              <w:rPr>
                <w:rFonts w:cs="Times New Roman"/>
                <w:sz w:val="32"/>
                <w:szCs w:val="28"/>
              </w:rPr>
              <w:br/>
            </w:r>
            <w:r w:rsidRPr="00D56D59">
              <w:rPr>
                <w:rFonts w:cs="Times New Roman"/>
                <w:sz w:val="32"/>
                <w:szCs w:val="32"/>
              </w:rPr>
              <w:t>Enterprise Platform Readiness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9" w:name="ExA"/>
      <w:r w:rsidRPr="009A3EA6">
        <w:rPr>
          <w:rFonts w:cs="Times New Roman"/>
          <w:b/>
          <w:sz w:val="40"/>
          <w:szCs w:val="40"/>
        </w:rPr>
        <w:lastRenderedPageBreak/>
        <w:t>Exhibit A</w:t>
      </w:r>
    </w:p>
    <w:bookmarkEnd w:id="99"/>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479A831C" w14:textId="77777777" w:rsidR="00D56D59" w:rsidRPr="00D56D59" w:rsidRDefault="00D56D59" w:rsidP="00D56D59">
      <w:pPr>
        <w:jc w:val="center"/>
        <w:rPr>
          <w:rFonts w:cs="Times New Roman"/>
          <w:b/>
          <w:sz w:val="36"/>
          <w:szCs w:val="36"/>
          <w:u w:val="single"/>
        </w:rPr>
      </w:pPr>
      <w:r w:rsidRPr="00D56D59">
        <w:rPr>
          <w:rFonts w:cs="Times New Roman"/>
          <w:b/>
          <w:sz w:val="36"/>
          <w:szCs w:val="36"/>
          <w:u w:val="single"/>
        </w:rPr>
        <w:t>RFP#20251357015</w:t>
      </w:r>
    </w:p>
    <w:p w14:paraId="093A92F9" w14:textId="0DA4AC28" w:rsidR="00EC7C8E" w:rsidRDefault="00D56D59" w:rsidP="00D56D59">
      <w:pPr>
        <w:jc w:val="center"/>
        <w:rPr>
          <w:rFonts w:cs="Times New Roman"/>
          <w:b/>
          <w:sz w:val="36"/>
          <w:szCs w:val="36"/>
          <w:u w:val="single"/>
        </w:rPr>
      </w:pPr>
      <w:r w:rsidRPr="00D56D59">
        <w:rPr>
          <w:rFonts w:cs="Times New Roman"/>
          <w:b/>
          <w:sz w:val="36"/>
          <w:szCs w:val="36"/>
          <w:u w:val="single"/>
        </w:rPr>
        <w:t>Enterprise Platform Readiness</w:t>
      </w:r>
    </w:p>
    <w:p w14:paraId="35E2B78E" w14:textId="77777777" w:rsidR="007B19E8" w:rsidRPr="009A3EA6" w:rsidRDefault="007B19E8" w:rsidP="00D56D59">
      <w:pPr>
        <w:jc w:val="center"/>
        <w:rPr>
          <w:rFonts w:cs="Times New Roman"/>
          <w:szCs w:val="22"/>
        </w:rPr>
      </w:pPr>
    </w:p>
    <w:p w14:paraId="0EDFEFC5" w14:textId="77777777" w:rsidR="007B19E8" w:rsidRPr="005A0177" w:rsidRDefault="007B19E8" w:rsidP="007B19E8">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3FFE0E97" w14:textId="77777777" w:rsidR="007B19E8" w:rsidRPr="005A0177" w:rsidRDefault="007B19E8" w:rsidP="007B19E8">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10828F46" w14:textId="77777777" w:rsidR="007B19E8" w:rsidRPr="005A0177" w:rsidRDefault="007B19E8" w:rsidP="007B19E8"/>
    <w:tbl>
      <w:tblPr>
        <w:tblStyle w:val="TableGrid1"/>
        <w:tblW w:w="4816" w:type="pct"/>
        <w:tblLook w:val="04A0" w:firstRow="1" w:lastRow="0" w:firstColumn="1" w:lastColumn="0" w:noHBand="0" w:noVBand="1"/>
      </w:tblPr>
      <w:tblGrid>
        <w:gridCol w:w="4719"/>
        <w:gridCol w:w="2238"/>
        <w:gridCol w:w="2049"/>
      </w:tblGrid>
      <w:tr w:rsidR="007B19E8" w:rsidRPr="005A0177" w14:paraId="4479D1D3" w14:textId="77777777" w:rsidTr="000D4E0E">
        <w:trPr>
          <w:trHeight w:val="403"/>
        </w:trPr>
        <w:tc>
          <w:tcPr>
            <w:tcW w:w="4719" w:type="dxa"/>
            <w:shd w:val="clear" w:color="auto" w:fill="000000" w:themeFill="text1"/>
            <w:vAlign w:val="center"/>
          </w:tcPr>
          <w:p w14:paraId="7BBF30CA" w14:textId="77777777" w:rsidR="007B19E8" w:rsidRPr="005A0177" w:rsidRDefault="007B19E8" w:rsidP="000D4E0E">
            <w:pPr>
              <w:jc w:val="center"/>
              <w:rPr>
                <w:b/>
                <w:sz w:val="28"/>
              </w:rPr>
            </w:pPr>
            <w:r w:rsidRPr="005A0177">
              <w:rPr>
                <w:b/>
                <w:sz w:val="28"/>
              </w:rPr>
              <w:t>Description</w:t>
            </w:r>
          </w:p>
        </w:tc>
        <w:tc>
          <w:tcPr>
            <w:tcW w:w="2238" w:type="dxa"/>
            <w:shd w:val="clear" w:color="auto" w:fill="000000" w:themeFill="text1"/>
            <w:vAlign w:val="center"/>
          </w:tcPr>
          <w:p w14:paraId="70BFB6B5" w14:textId="77777777" w:rsidR="007B19E8" w:rsidRPr="005A0177" w:rsidRDefault="007B19E8" w:rsidP="000D4E0E">
            <w:pPr>
              <w:jc w:val="center"/>
              <w:rPr>
                <w:b/>
                <w:sz w:val="28"/>
              </w:rPr>
            </w:pPr>
            <w:r w:rsidRPr="005A0177">
              <w:rPr>
                <w:b/>
                <w:sz w:val="28"/>
              </w:rPr>
              <w:t>Price</w:t>
            </w:r>
          </w:p>
        </w:tc>
        <w:tc>
          <w:tcPr>
            <w:tcW w:w="2049" w:type="dxa"/>
            <w:shd w:val="clear" w:color="auto" w:fill="000000" w:themeFill="text1"/>
            <w:vAlign w:val="center"/>
          </w:tcPr>
          <w:p w14:paraId="05D12B61" w14:textId="77777777" w:rsidR="007B19E8" w:rsidRPr="005A0177" w:rsidRDefault="007B19E8" w:rsidP="000D4E0E">
            <w:pPr>
              <w:jc w:val="center"/>
              <w:rPr>
                <w:b/>
                <w:sz w:val="28"/>
              </w:rPr>
            </w:pPr>
            <w:r w:rsidRPr="005A0177">
              <w:rPr>
                <w:b/>
                <w:sz w:val="28"/>
              </w:rPr>
              <w:t>Total</w:t>
            </w:r>
          </w:p>
        </w:tc>
      </w:tr>
      <w:tr w:rsidR="007B19E8" w:rsidRPr="005A0177" w14:paraId="1EA84365" w14:textId="77777777" w:rsidTr="000D4E0E">
        <w:trPr>
          <w:trHeight w:val="359"/>
        </w:trPr>
        <w:tc>
          <w:tcPr>
            <w:tcW w:w="4719" w:type="dxa"/>
            <w:vAlign w:val="center"/>
          </w:tcPr>
          <w:p w14:paraId="10735E3A" w14:textId="77777777" w:rsidR="007B19E8" w:rsidRPr="005A0177" w:rsidRDefault="007B19E8" w:rsidP="000D4E0E">
            <w:r w:rsidRPr="005A0177">
              <w:t>Annual Cost</w:t>
            </w:r>
            <w:r>
              <w:t xml:space="preserve"> for S</w:t>
            </w:r>
            <w:r w:rsidRPr="005A0177">
              <w:t>ervice (years 1-3)</w:t>
            </w:r>
          </w:p>
        </w:tc>
        <w:tc>
          <w:tcPr>
            <w:tcW w:w="2238" w:type="dxa"/>
            <w:vAlign w:val="center"/>
          </w:tcPr>
          <w:p w14:paraId="34F290FE" w14:textId="77777777" w:rsidR="007B19E8" w:rsidRPr="005A0177" w:rsidRDefault="007B19E8" w:rsidP="000D4E0E">
            <w:pPr>
              <w:jc w:val="center"/>
            </w:pPr>
            <w:r w:rsidRPr="005A0177">
              <w:t>$      /year</w:t>
            </w:r>
          </w:p>
        </w:tc>
        <w:tc>
          <w:tcPr>
            <w:tcW w:w="2049" w:type="dxa"/>
            <w:vAlign w:val="center"/>
          </w:tcPr>
          <w:p w14:paraId="58B12368" w14:textId="77777777" w:rsidR="007B19E8" w:rsidRPr="005A0177" w:rsidRDefault="007B19E8" w:rsidP="000D4E0E">
            <w:pPr>
              <w:jc w:val="center"/>
            </w:pPr>
          </w:p>
        </w:tc>
      </w:tr>
      <w:tr w:rsidR="007B19E8" w:rsidRPr="005A0177" w14:paraId="4BC8DD33" w14:textId="77777777" w:rsidTr="000D4E0E">
        <w:trPr>
          <w:trHeight w:val="359"/>
        </w:trPr>
        <w:tc>
          <w:tcPr>
            <w:tcW w:w="4719" w:type="dxa"/>
            <w:vAlign w:val="center"/>
          </w:tcPr>
          <w:p w14:paraId="382E41C6" w14:textId="77777777" w:rsidR="007B19E8" w:rsidRPr="005A0177" w:rsidRDefault="007B19E8" w:rsidP="000D4E0E">
            <w:r w:rsidRPr="005A0177">
              <w:t>Implementation Costs</w:t>
            </w:r>
          </w:p>
        </w:tc>
        <w:tc>
          <w:tcPr>
            <w:tcW w:w="2238" w:type="dxa"/>
            <w:vAlign w:val="center"/>
          </w:tcPr>
          <w:p w14:paraId="619E18BA" w14:textId="77777777" w:rsidR="007B19E8" w:rsidRPr="005A0177" w:rsidRDefault="007B19E8" w:rsidP="000D4E0E">
            <w:pPr>
              <w:jc w:val="center"/>
            </w:pPr>
          </w:p>
        </w:tc>
        <w:tc>
          <w:tcPr>
            <w:tcW w:w="2049" w:type="dxa"/>
            <w:vAlign w:val="center"/>
          </w:tcPr>
          <w:p w14:paraId="09278292" w14:textId="77777777" w:rsidR="007B19E8" w:rsidRPr="005A0177" w:rsidRDefault="007B19E8" w:rsidP="000D4E0E">
            <w:pPr>
              <w:jc w:val="center"/>
            </w:pPr>
          </w:p>
        </w:tc>
      </w:tr>
      <w:tr w:rsidR="007B19E8" w:rsidRPr="005A0177" w14:paraId="5003C8A8" w14:textId="77777777" w:rsidTr="000D4E0E">
        <w:trPr>
          <w:trHeight w:val="359"/>
        </w:trPr>
        <w:tc>
          <w:tcPr>
            <w:tcW w:w="4719" w:type="dxa"/>
            <w:vAlign w:val="center"/>
          </w:tcPr>
          <w:p w14:paraId="73DAD646" w14:textId="77777777" w:rsidR="007B19E8" w:rsidRPr="005A0177" w:rsidRDefault="007B19E8" w:rsidP="000D4E0E">
            <w:r w:rsidRPr="005A0177">
              <w:t>Expenses (if not included in implementation fee)</w:t>
            </w:r>
          </w:p>
        </w:tc>
        <w:tc>
          <w:tcPr>
            <w:tcW w:w="2238" w:type="dxa"/>
            <w:vAlign w:val="center"/>
          </w:tcPr>
          <w:p w14:paraId="2D5B3916" w14:textId="77777777" w:rsidR="007B19E8" w:rsidRPr="005A0177" w:rsidRDefault="007B19E8" w:rsidP="000D4E0E">
            <w:pPr>
              <w:jc w:val="center"/>
            </w:pPr>
          </w:p>
        </w:tc>
        <w:tc>
          <w:tcPr>
            <w:tcW w:w="2049" w:type="dxa"/>
            <w:vAlign w:val="center"/>
          </w:tcPr>
          <w:p w14:paraId="1FA9CBFF" w14:textId="77777777" w:rsidR="007B19E8" w:rsidRPr="005A0177" w:rsidRDefault="007B19E8" w:rsidP="000D4E0E">
            <w:pPr>
              <w:jc w:val="center"/>
            </w:pPr>
          </w:p>
        </w:tc>
      </w:tr>
      <w:tr w:rsidR="007B19E8" w:rsidRPr="005A0177" w14:paraId="3CFE38CC" w14:textId="77777777" w:rsidTr="000D4E0E">
        <w:trPr>
          <w:trHeight w:val="359"/>
        </w:trPr>
        <w:tc>
          <w:tcPr>
            <w:tcW w:w="4719" w:type="dxa"/>
            <w:vAlign w:val="center"/>
          </w:tcPr>
          <w:p w14:paraId="3C35B8C3" w14:textId="77777777" w:rsidR="007B19E8" w:rsidRPr="005A0177" w:rsidRDefault="007B19E8" w:rsidP="000D4E0E">
            <w:r w:rsidRPr="005A0177">
              <w:t>Additional services/product add-ons, if any</w:t>
            </w:r>
          </w:p>
        </w:tc>
        <w:tc>
          <w:tcPr>
            <w:tcW w:w="2238" w:type="dxa"/>
            <w:vAlign w:val="center"/>
          </w:tcPr>
          <w:p w14:paraId="73FDE19C" w14:textId="77777777" w:rsidR="007B19E8" w:rsidRPr="005A0177" w:rsidRDefault="007B19E8" w:rsidP="000D4E0E">
            <w:pPr>
              <w:jc w:val="center"/>
            </w:pPr>
          </w:p>
        </w:tc>
        <w:tc>
          <w:tcPr>
            <w:tcW w:w="2049" w:type="dxa"/>
            <w:vAlign w:val="center"/>
          </w:tcPr>
          <w:p w14:paraId="6DC51687" w14:textId="77777777" w:rsidR="007B19E8" w:rsidRPr="005A0177" w:rsidRDefault="007B19E8" w:rsidP="000D4E0E">
            <w:pPr>
              <w:jc w:val="center"/>
            </w:pPr>
          </w:p>
        </w:tc>
      </w:tr>
      <w:tr w:rsidR="007B19E8" w:rsidRPr="005A0177" w14:paraId="3FD0A81F" w14:textId="77777777" w:rsidTr="000D4E0E">
        <w:trPr>
          <w:trHeight w:val="359"/>
        </w:trPr>
        <w:tc>
          <w:tcPr>
            <w:tcW w:w="4719" w:type="dxa"/>
            <w:vAlign w:val="center"/>
          </w:tcPr>
          <w:p w14:paraId="7FD5B868" w14:textId="77777777" w:rsidR="007B19E8" w:rsidRPr="005A0177" w:rsidRDefault="007B19E8" w:rsidP="000D4E0E">
            <w:r w:rsidRPr="005A0177">
              <w:rPr>
                <w:rFonts w:cs="Times New Roman"/>
                <w:szCs w:val="22"/>
              </w:rPr>
              <w:t>If ad-hoc training or consulting is available, provide hourly rate or other fee structure</w:t>
            </w:r>
          </w:p>
        </w:tc>
        <w:tc>
          <w:tcPr>
            <w:tcW w:w="2238" w:type="dxa"/>
            <w:vAlign w:val="center"/>
          </w:tcPr>
          <w:p w14:paraId="451066DE" w14:textId="77777777" w:rsidR="007B19E8" w:rsidRPr="005A0177" w:rsidRDefault="007B19E8" w:rsidP="000D4E0E">
            <w:pPr>
              <w:jc w:val="center"/>
            </w:pPr>
          </w:p>
        </w:tc>
        <w:tc>
          <w:tcPr>
            <w:tcW w:w="2049" w:type="dxa"/>
            <w:vAlign w:val="center"/>
          </w:tcPr>
          <w:p w14:paraId="21471A82" w14:textId="77777777" w:rsidR="007B19E8" w:rsidRPr="005A0177" w:rsidRDefault="007B19E8" w:rsidP="000D4E0E">
            <w:pPr>
              <w:jc w:val="center"/>
            </w:pPr>
          </w:p>
        </w:tc>
      </w:tr>
      <w:tr w:rsidR="007B19E8" w:rsidRPr="005A0177" w14:paraId="0B03372F" w14:textId="77777777" w:rsidTr="000D4E0E">
        <w:trPr>
          <w:trHeight w:val="359"/>
        </w:trPr>
        <w:tc>
          <w:tcPr>
            <w:tcW w:w="4719" w:type="dxa"/>
            <w:vAlign w:val="center"/>
          </w:tcPr>
          <w:p w14:paraId="42CE7E42" w14:textId="77777777" w:rsidR="007B19E8" w:rsidRPr="005A0177" w:rsidRDefault="007B19E8" w:rsidP="000D4E0E">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06CE9162" w14:textId="77777777" w:rsidR="007B19E8" w:rsidRPr="005A0177" w:rsidRDefault="007B19E8" w:rsidP="000D4E0E">
            <w:pPr>
              <w:jc w:val="center"/>
              <w:rPr>
                <w:rFonts w:cs="Times New Roman"/>
                <w:szCs w:val="22"/>
              </w:rPr>
            </w:pPr>
          </w:p>
        </w:tc>
        <w:tc>
          <w:tcPr>
            <w:tcW w:w="2049" w:type="dxa"/>
            <w:vAlign w:val="center"/>
          </w:tcPr>
          <w:p w14:paraId="3DAC0331" w14:textId="77777777" w:rsidR="007B19E8" w:rsidRPr="005A0177" w:rsidRDefault="007B19E8" w:rsidP="000D4E0E">
            <w:pPr>
              <w:jc w:val="center"/>
              <w:rPr>
                <w:rFonts w:cs="Times New Roman"/>
                <w:szCs w:val="22"/>
              </w:rPr>
            </w:pPr>
          </w:p>
        </w:tc>
      </w:tr>
      <w:tr w:rsidR="007B19E8" w:rsidRPr="005A0177" w14:paraId="2E5893B0" w14:textId="77777777" w:rsidTr="000D4E0E">
        <w:trPr>
          <w:trHeight w:val="359"/>
        </w:trPr>
        <w:tc>
          <w:tcPr>
            <w:tcW w:w="4719" w:type="dxa"/>
            <w:vAlign w:val="center"/>
          </w:tcPr>
          <w:p w14:paraId="1568CB63" w14:textId="77777777" w:rsidR="007B19E8" w:rsidRPr="005A0177" w:rsidRDefault="007B19E8" w:rsidP="000D4E0E">
            <w:pPr>
              <w:rPr>
                <w:rFonts w:cs="Times New Roman"/>
                <w:szCs w:val="22"/>
              </w:rPr>
            </w:pPr>
            <w:r w:rsidRPr="005A0177">
              <w:rPr>
                <w:rFonts w:cs="Times New Roman"/>
                <w:szCs w:val="22"/>
              </w:rPr>
              <w:t>[insert additional lines as needed]</w:t>
            </w:r>
          </w:p>
        </w:tc>
        <w:tc>
          <w:tcPr>
            <w:tcW w:w="2238" w:type="dxa"/>
            <w:vAlign w:val="center"/>
          </w:tcPr>
          <w:p w14:paraId="704F491D" w14:textId="77777777" w:rsidR="007B19E8" w:rsidRPr="005A0177" w:rsidRDefault="007B19E8" w:rsidP="000D4E0E">
            <w:pPr>
              <w:jc w:val="center"/>
              <w:rPr>
                <w:rFonts w:cs="Times New Roman"/>
                <w:szCs w:val="22"/>
              </w:rPr>
            </w:pPr>
          </w:p>
        </w:tc>
        <w:tc>
          <w:tcPr>
            <w:tcW w:w="2049" w:type="dxa"/>
            <w:vAlign w:val="center"/>
          </w:tcPr>
          <w:p w14:paraId="2CB4C78F" w14:textId="77777777" w:rsidR="007B19E8" w:rsidRPr="005A0177" w:rsidRDefault="007B19E8" w:rsidP="000D4E0E">
            <w:pPr>
              <w:jc w:val="center"/>
              <w:rPr>
                <w:rFonts w:cs="Times New Roman"/>
                <w:szCs w:val="22"/>
              </w:rPr>
            </w:pPr>
          </w:p>
        </w:tc>
      </w:tr>
      <w:tr w:rsidR="007B19E8" w:rsidRPr="005A0177" w14:paraId="177D840B" w14:textId="77777777" w:rsidTr="000D4E0E">
        <w:trPr>
          <w:trHeight w:val="359"/>
        </w:trPr>
        <w:tc>
          <w:tcPr>
            <w:tcW w:w="4719" w:type="dxa"/>
            <w:vAlign w:val="center"/>
          </w:tcPr>
          <w:p w14:paraId="17269F81" w14:textId="77777777" w:rsidR="007B19E8" w:rsidRPr="005A0177" w:rsidRDefault="007B19E8" w:rsidP="000D4E0E">
            <w:pPr>
              <w:rPr>
                <w:rFonts w:cs="Times New Roman"/>
                <w:szCs w:val="22"/>
              </w:rPr>
            </w:pPr>
          </w:p>
        </w:tc>
        <w:tc>
          <w:tcPr>
            <w:tcW w:w="2238" w:type="dxa"/>
            <w:vAlign w:val="center"/>
          </w:tcPr>
          <w:p w14:paraId="3FC1E62A" w14:textId="77777777" w:rsidR="007B19E8" w:rsidRPr="005A0177" w:rsidRDefault="007B19E8" w:rsidP="000D4E0E">
            <w:pPr>
              <w:jc w:val="center"/>
              <w:rPr>
                <w:rFonts w:cs="Times New Roman"/>
                <w:szCs w:val="22"/>
              </w:rPr>
            </w:pPr>
          </w:p>
        </w:tc>
        <w:tc>
          <w:tcPr>
            <w:tcW w:w="2049" w:type="dxa"/>
            <w:vAlign w:val="center"/>
          </w:tcPr>
          <w:p w14:paraId="0CA7ABFB" w14:textId="77777777" w:rsidR="007B19E8" w:rsidRPr="005A0177" w:rsidRDefault="007B19E8" w:rsidP="000D4E0E">
            <w:pPr>
              <w:jc w:val="center"/>
              <w:rPr>
                <w:rFonts w:cs="Times New Roman"/>
                <w:szCs w:val="22"/>
              </w:rPr>
            </w:pPr>
          </w:p>
        </w:tc>
      </w:tr>
      <w:tr w:rsidR="007B19E8" w:rsidRPr="005A0177" w14:paraId="403CA90E" w14:textId="77777777" w:rsidTr="000D4E0E">
        <w:trPr>
          <w:trHeight w:val="323"/>
        </w:trPr>
        <w:tc>
          <w:tcPr>
            <w:tcW w:w="6957" w:type="dxa"/>
            <w:gridSpan w:val="2"/>
            <w:shd w:val="clear" w:color="auto" w:fill="FFFFFF" w:themeFill="background1"/>
            <w:vAlign w:val="center"/>
          </w:tcPr>
          <w:p w14:paraId="453F54E4" w14:textId="77777777" w:rsidR="007B19E8" w:rsidRPr="005A0177" w:rsidRDefault="007B19E8" w:rsidP="000D4E0E">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29A87FD4" w14:textId="77777777" w:rsidR="007B19E8" w:rsidRPr="005A0177" w:rsidRDefault="007B19E8" w:rsidP="000D4E0E">
            <w:pPr>
              <w:jc w:val="center"/>
            </w:pPr>
          </w:p>
        </w:tc>
      </w:tr>
      <w:tr w:rsidR="007B19E8" w:rsidRPr="005A0177" w14:paraId="56A569E9" w14:textId="77777777" w:rsidTr="000D4E0E">
        <w:trPr>
          <w:trHeight w:val="350"/>
        </w:trPr>
        <w:tc>
          <w:tcPr>
            <w:tcW w:w="6957" w:type="dxa"/>
            <w:gridSpan w:val="2"/>
            <w:shd w:val="clear" w:color="auto" w:fill="FFFFFF" w:themeFill="background1"/>
            <w:vAlign w:val="center"/>
          </w:tcPr>
          <w:p w14:paraId="722E4B09" w14:textId="77777777" w:rsidR="007B19E8" w:rsidRPr="005A0177" w:rsidRDefault="007B19E8" w:rsidP="000D4E0E">
            <w:pPr>
              <w:jc w:val="right"/>
            </w:pPr>
            <w:r w:rsidRPr="005A0177">
              <w:rPr>
                <w:rFonts w:eastAsia="Calibri"/>
              </w:rPr>
              <w:t xml:space="preserve">Optional 4th year </w:t>
            </w:r>
          </w:p>
        </w:tc>
        <w:tc>
          <w:tcPr>
            <w:tcW w:w="2049" w:type="dxa"/>
            <w:vAlign w:val="center"/>
          </w:tcPr>
          <w:p w14:paraId="75018703" w14:textId="77777777" w:rsidR="007B19E8" w:rsidRPr="005A0177" w:rsidRDefault="007B19E8" w:rsidP="000D4E0E">
            <w:pPr>
              <w:jc w:val="center"/>
            </w:pPr>
          </w:p>
        </w:tc>
      </w:tr>
      <w:tr w:rsidR="007B19E8" w:rsidRPr="005A0177" w14:paraId="5B157DCD" w14:textId="77777777" w:rsidTr="000D4E0E">
        <w:trPr>
          <w:trHeight w:val="359"/>
        </w:trPr>
        <w:tc>
          <w:tcPr>
            <w:tcW w:w="6957" w:type="dxa"/>
            <w:gridSpan w:val="2"/>
            <w:shd w:val="clear" w:color="auto" w:fill="FFFFFF" w:themeFill="background1"/>
            <w:vAlign w:val="center"/>
          </w:tcPr>
          <w:p w14:paraId="22DCF82C" w14:textId="77777777" w:rsidR="007B19E8" w:rsidRPr="005A0177" w:rsidRDefault="007B19E8" w:rsidP="000D4E0E">
            <w:pPr>
              <w:jc w:val="right"/>
            </w:pPr>
            <w:r w:rsidRPr="005A0177">
              <w:rPr>
                <w:rFonts w:eastAsia="Calibri"/>
              </w:rPr>
              <w:t>Optional 5th year</w:t>
            </w:r>
          </w:p>
        </w:tc>
        <w:tc>
          <w:tcPr>
            <w:tcW w:w="2049" w:type="dxa"/>
            <w:vAlign w:val="center"/>
          </w:tcPr>
          <w:p w14:paraId="12297260" w14:textId="77777777" w:rsidR="007B19E8" w:rsidRPr="005A0177" w:rsidRDefault="007B19E8" w:rsidP="000D4E0E">
            <w:pPr>
              <w:jc w:val="center"/>
            </w:pPr>
          </w:p>
        </w:tc>
      </w:tr>
      <w:tr w:rsidR="007B19E8" w:rsidRPr="005A0177" w14:paraId="7BEA6676" w14:textId="77777777" w:rsidTr="000D4E0E">
        <w:trPr>
          <w:trHeight w:val="359"/>
        </w:trPr>
        <w:tc>
          <w:tcPr>
            <w:tcW w:w="6957" w:type="dxa"/>
            <w:gridSpan w:val="2"/>
            <w:shd w:val="clear" w:color="auto" w:fill="FFFFFF" w:themeFill="background1"/>
            <w:vAlign w:val="center"/>
          </w:tcPr>
          <w:p w14:paraId="628812C3" w14:textId="77777777" w:rsidR="007B19E8" w:rsidRPr="005A0177" w:rsidRDefault="007B19E8" w:rsidP="000D4E0E">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1944B542" w14:textId="77777777" w:rsidR="007B19E8" w:rsidRPr="005A0177" w:rsidRDefault="007B19E8" w:rsidP="000D4E0E">
            <w:pPr>
              <w:jc w:val="center"/>
            </w:pPr>
          </w:p>
        </w:tc>
      </w:tr>
      <w:tr w:rsidR="007B19E8" w:rsidRPr="005A0177" w14:paraId="0280ED4C" w14:textId="77777777" w:rsidTr="000D4E0E">
        <w:trPr>
          <w:trHeight w:val="314"/>
        </w:trPr>
        <w:tc>
          <w:tcPr>
            <w:tcW w:w="4719" w:type="dxa"/>
            <w:vAlign w:val="center"/>
          </w:tcPr>
          <w:p w14:paraId="6A69B3A0" w14:textId="77777777" w:rsidR="007B19E8" w:rsidRPr="005A0177" w:rsidRDefault="007B19E8" w:rsidP="000D4E0E">
            <w:r w:rsidRPr="005A0177">
              <w:t>[insert additional lines as needed]</w:t>
            </w:r>
          </w:p>
        </w:tc>
        <w:tc>
          <w:tcPr>
            <w:tcW w:w="2238" w:type="dxa"/>
            <w:vAlign w:val="center"/>
          </w:tcPr>
          <w:p w14:paraId="741CFD94" w14:textId="77777777" w:rsidR="007B19E8" w:rsidRPr="005A0177" w:rsidRDefault="007B19E8" w:rsidP="000D4E0E">
            <w:pPr>
              <w:jc w:val="center"/>
            </w:pPr>
          </w:p>
        </w:tc>
        <w:tc>
          <w:tcPr>
            <w:tcW w:w="2049" w:type="dxa"/>
            <w:vAlign w:val="center"/>
          </w:tcPr>
          <w:p w14:paraId="17390BA8" w14:textId="77777777" w:rsidR="007B19E8" w:rsidRPr="005A0177" w:rsidRDefault="007B19E8" w:rsidP="000D4E0E">
            <w:pPr>
              <w:jc w:val="center"/>
            </w:pPr>
          </w:p>
        </w:tc>
      </w:tr>
      <w:tr w:rsidR="007B19E8" w:rsidRPr="005A0177" w14:paraId="2DC55A07" w14:textId="77777777" w:rsidTr="000D4E0E">
        <w:trPr>
          <w:trHeight w:val="359"/>
        </w:trPr>
        <w:tc>
          <w:tcPr>
            <w:tcW w:w="4719" w:type="dxa"/>
            <w:vAlign w:val="center"/>
          </w:tcPr>
          <w:p w14:paraId="271C381B" w14:textId="77777777" w:rsidR="007B19E8" w:rsidRPr="005A0177" w:rsidRDefault="007B19E8" w:rsidP="000D4E0E"/>
        </w:tc>
        <w:tc>
          <w:tcPr>
            <w:tcW w:w="2238" w:type="dxa"/>
            <w:vAlign w:val="center"/>
          </w:tcPr>
          <w:p w14:paraId="00A11FD5" w14:textId="77777777" w:rsidR="007B19E8" w:rsidRPr="005A0177" w:rsidRDefault="007B19E8" w:rsidP="000D4E0E">
            <w:pPr>
              <w:jc w:val="center"/>
            </w:pPr>
          </w:p>
        </w:tc>
        <w:tc>
          <w:tcPr>
            <w:tcW w:w="2049" w:type="dxa"/>
            <w:vAlign w:val="center"/>
          </w:tcPr>
          <w:p w14:paraId="404EE574" w14:textId="77777777" w:rsidR="007B19E8" w:rsidRPr="005A0177" w:rsidRDefault="007B19E8" w:rsidP="000D4E0E">
            <w:pPr>
              <w:jc w:val="center"/>
            </w:pPr>
          </w:p>
        </w:tc>
      </w:tr>
    </w:tbl>
    <w:p w14:paraId="071B770B" w14:textId="77777777" w:rsidR="007B19E8" w:rsidRPr="005A0177" w:rsidRDefault="007B19E8" w:rsidP="007B19E8">
      <w:pPr>
        <w:jc w:val="center"/>
      </w:pPr>
    </w:p>
    <w:p w14:paraId="562C5D9F" w14:textId="43B292D3" w:rsidR="00EC7C8E" w:rsidRPr="009A3EA6" w:rsidRDefault="007B19E8" w:rsidP="007B19E8">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w:t>
      </w: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100" w:name="ExB"/>
      <w:r w:rsidRPr="009A3EA6">
        <w:rPr>
          <w:rFonts w:cs="Times New Roman"/>
          <w:b/>
          <w:sz w:val="40"/>
          <w:szCs w:val="40"/>
        </w:rPr>
        <w:lastRenderedPageBreak/>
        <w:t>Exhibit B</w:t>
      </w:r>
    </w:p>
    <w:bookmarkEnd w:id="100"/>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0BFE60F" w14:textId="77777777" w:rsidR="00D56D59" w:rsidRPr="00D56D59" w:rsidRDefault="00D56D59" w:rsidP="00D56D59">
            <w:pPr>
              <w:pStyle w:val="Heading2para"/>
              <w:ind w:left="0" w:firstLine="0"/>
              <w:jc w:val="center"/>
              <w:rPr>
                <w:rFonts w:cs="Times New Roman"/>
                <w:b/>
                <w:sz w:val="36"/>
                <w:szCs w:val="24"/>
              </w:rPr>
            </w:pPr>
            <w:r w:rsidRPr="00D56D59">
              <w:rPr>
                <w:rFonts w:cs="Times New Roman"/>
                <w:b/>
                <w:sz w:val="36"/>
                <w:szCs w:val="24"/>
              </w:rPr>
              <w:t>RFP#20251357015</w:t>
            </w:r>
          </w:p>
          <w:p w14:paraId="6C272880" w14:textId="7CE97F46" w:rsidR="00EC7C8E" w:rsidRPr="002041D7" w:rsidRDefault="00D56D59" w:rsidP="00D56D59">
            <w:pPr>
              <w:pStyle w:val="Heading2para"/>
              <w:tabs>
                <w:tab w:val="clear" w:pos="1282"/>
              </w:tabs>
              <w:spacing w:before="0" w:after="0"/>
              <w:ind w:left="0" w:firstLine="0"/>
              <w:jc w:val="center"/>
              <w:rPr>
                <w:rFonts w:cs="Times New Roman"/>
                <w:sz w:val="36"/>
                <w:szCs w:val="24"/>
              </w:rPr>
            </w:pPr>
            <w:r w:rsidRPr="00D56D59">
              <w:rPr>
                <w:rFonts w:cs="Times New Roman"/>
                <w:b/>
                <w:sz w:val="36"/>
                <w:szCs w:val="24"/>
              </w:rPr>
              <w:t>Enterprise Platform Readiness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1"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102" w:name="_Hlk22036516"/>
      <w:bookmarkEnd w:id="101"/>
      <w:r w:rsidRPr="009A3EA6">
        <w:rPr>
          <w:rFonts w:cs="Times New Roman"/>
          <w:b/>
          <w:sz w:val="40"/>
          <w:szCs w:val="40"/>
        </w:rPr>
        <w:t xml:space="preserve">Contract </w:t>
      </w:r>
    </w:p>
    <w:p w14:paraId="07551FD2" w14:textId="77777777" w:rsidR="009358B8" w:rsidRDefault="00D56D59" w:rsidP="00A5157D">
      <w:pPr>
        <w:jc w:val="center"/>
        <w:rPr>
          <w:rFonts w:cs="Times New Roman"/>
          <w:b/>
          <w:bCs/>
          <w:sz w:val="36"/>
          <w:szCs w:val="36"/>
        </w:rPr>
      </w:pPr>
      <w:r w:rsidRPr="00D56D59">
        <w:rPr>
          <w:rFonts w:cs="Times New Roman"/>
          <w:b/>
          <w:bCs/>
          <w:sz w:val="36"/>
          <w:szCs w:val="36"/>
          <w:highlight w:val="lightGray"/>
        </w:rPr>
        <w:t>RFP#20251357015</w:t>
      </w:r>
      <w:r w:rsidRPr="00D56D59">
        <w:rPr>
          <w:rFonts w:cs="Times New Roman"/>
          <w:b/>
          <w:bCs/>
          <w:sz w:val="36"/>
          <w:szCs w:val="36"/>
          <w:highlight w:val="lightGray"/>
        </w:rPr>
        <w:br/>
        <w:t xml:space="preserve">Enterprise Platform Readiness </w:t>
      </w:r>
    </w:p>
    <w:p w14:paraId="40F1A22A" w14:textId="77777777" w:rsidR="009358B8" w:rsidRDefault="009358B8" w:rsidP="00A5157D">
      <w:pPr>
        <w:jc w:val="center"/>
        <w:rPr>
          <w:rFonts w:cs="Times New Roman"/>
          <w:b/>
          <w:bCs/>
          <w:sz w:val="36"/>
          <w:szCs w:val="36"/>
        </w:rPr>
      </w:pPr>
    </w:p>
    <w:p w14:paraId="099C1510" w14:textId="77777777" w:rsidR="009358B8" w:rsidRPr="001A1CAA" w:rsidRDefault="009358B8" w:rsidP="0093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3" w:name="_Hlk17968468"/>
      <w:r w:rsidRPr="001A1CAA">
        <w:rPr>
          <w:rFonts w:cs="Times New Roman"/>
          <w:b/>
          <w:szCs w:val="22"/>
        </w:rPr>
        <w:t>JPS Required Terms &amp; Conditions</w:t>
      </w:r>
    </w:p>
    <w:p w14:paraId="43E0C11B" w14:textId="77777777" w:rsidR="009358B8" w:rsidRDefault="009358B8" w:rsidP="0093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205D0ECA" w14:textId="77777777" w:rsidR="009358B8" w:rsidRPr="001A1CAA" w:rsidRDefault="009358B8" w:rsidP="0093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D0D1707" w14:textId="77777777" w:rsidR="009358B8" w:rsidRDefault="009358B8" w:rsidP="009358B8">
      <w:pPr>
        <w:spacing w:after="120"/>
        <w:jc w:val="both"/>
        <w:rPr>
          <w:rFonts w:cs="Times New Roman"/>
          <w:b/>
          <w:szCs w:val="22"/>
        </w:rPr>
      </w:pPr>
      <w:r w:rsidRPr="00D367B5">
        <w:rPr>
          <w:rFonts w:cs="Times New Roman"/>
          <w:szCs w:val="22"/>
        </w:rPr>
        <w:t>District is a taxpayer-supported government entity.</w:t>
      </w:r>
      <w:r w:rsidRPr="00D367B5">
        <w:rPr>
          <w:rStyle w:val="CommentReference"/>
          <w:rFonts w:cs="Times New Roman"/>
          <w:szCs w:val="22"/>
        </w:rPr>
        <w:t xml:space="preserve"> </w:t>
      </w:r>
      <w:r w:rsidRPr="00D367B5">
        <w:rPr>
          <w:rFonts w:cs="Times New Roman"/>
          <w:szCs w:val="22"/>
        </w:rPr>
        <w:t xml:space="preserve">The </w:t>
      </w:r>
      <w:proofErr w:type="gramStart"/>
      <w:r w:rsidRPr="00D367B5">
        <w:rPr>
          <w:rFonts w:cs="Times New Roman"/>
          <w:szCs w:val="22"/>
        </w:rPr>
        <w:t>District</w:t>
      </w:r>
      <w:proofErr w:type="gramEnd"/>
      <w:r w:rsidRPr="00D367B5">
        <w:rPr>
          <w:rFonts w:cs="Times New Roman"/>
          <w:szCs w:val="22"/>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6A39317F" w14:textId="77777777" w:rsidR="009358B8" w:rsidRPr="001A1CAA" w:rsidRDefault="009358B8" w:rsidP="009358B8">
      <w:pPr>
        <w:spacing w:after="120"/>
        <w:jc w:val="both"/>
        <w:rPr>
          <w:rFonts w:cs="Times New Roman"/>
          <w:szCs w:val="22"/>
        </w:rPr>
      </w:pPr>
    </w:p>
    <w:p w14:paraId="2F2CB9B1"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4" w:name="_Hlk22036416"/>
      <w:r w:rsidRPr="001A1CAA">
        <w:rPr>
          <w:rFonts w:cs="Times New Roman"/>
          <w:szCs w:val="22"/>
        </w:rPr>
        <w:t>then-current term</w:t>
      </w:r>
      <w:bookmarkEnd w:id="104"/>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1DC8BFF" w14:textId="77777777" w:rsidR="009358B8" w:rsidRPr="001A1CAA" w:rsidRDefault="009358B8" w:rsidP="009358B8">
      <w:pPr>
        <w:keepNext/>
        <w:numPr>
          <w:ilvl w:val="0"/>
          <w:numId w:val="33"/>
        </w:numPr>
        <w:spacing w:after="120"/>
        <w:jc w:val="both"/>
        <w:rPr>
          <w:rFonts w:cs="Times New Roman"/>
          <w:szCs w:val="22"/>
        </w:rPr>
      </w:pPr>
      <w:bookmarkStart w:id="105" w:name="_Ref25081000"/>
      <w:bookmarkStart w:id="106" w:name="_Ref34732744"/>
      <w:bookmarkStart w:id="107" w:name="_Ref5113195"/>
      <w:r w:rsidRPr="001A1CAA">
        <w:rPr>
          <w:rFonts w:cs="Times New Roman"/>
          <w:szCs w:val="22"/>
          <w:u w:val="single"/>
        </w:rPr>
        <w:t>Indemnity</w:t>
      </w:r>
      <w:r w:rsidRPr="001A1CAA">
        <w:rPr>
          <w:rFonts w:cs="Times New Roman"/>
          <w:szCs w:val="22"/>
        </w:rPr>
        <w:t>.</w:t>
      </w:r>
      <w:bookmarkEnd w:id="105"/>
      <w:bookmarkEnd w:id="106"/>
      <w:r w:rsidRPr="001A1CAA">
        <w:rPr>
          <w:rFonts w:cs="Times New Roman"/>
          <w:szCs w:val="22"/>
        </w:rPr>
        <w:t xml:space="preserve">  </w:t>
      </w:r>
    </w:p>
    <w:p w14:paraId="64F3A787"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w:t>
      </w:r>
      <w:r w:rsidRPr="001A1CAA">
        <w:rPr>
          <w:rFonts w:cs="Times New Roman"/>
          <w:szCs w:val="22"/>
        </w:rPr>
        <w:lastRenderedPageBreak/>
        <w:t xml:space="preserve">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726EC37A"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1E4E0C91"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3344EA39"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5DA547C"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7"/>
    <w:p w14:paraId="53E819B3"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0A2EBD39" w14:textId="77777777" w:rsidR="009358B8" w:rsidRPr="001A1CAA" w:rsidRDefault="009358B8" w:rsidP="009358B8">
      <w:pPr>
        <w:keepNext/>
        <w:numPr>
          <w:ilvl w:val="0"/>
          <w:numId w:val="33"/>
        </w:numPr>
        <w:spacing w:after="120"/>
        <w:jc w:val="both"/>
        <w:rPr>
          <w:rFonts w:cs="Times New Roman"/>
          <w:szCs w:val="22"/>
        </w:rPr>
      </w:pPr>
      <w:bookmarkStart w:id="108" w:name="_Ref5113051"/>
      <w:r w:rsidRPr="001A1CAA">
        <w:rPr>
          <w:rFonts w:cs="Times New Roman"/>
          <w:szCs w:val="22"/>
          <w:u w:val="single"/>
        </w:rPr>
        <w:t>Confidentiality and HIPAA</w:t>
      </w:r>
      <w:r w:rsidRPr="001A1CAA">
        <w:rPr>
          <w:rFonts w:cs="Times New Roman"/>
          <w:szCs w:val="22"/>
        </w:rPr>
        <w:t>.</w:t>
      </w:r>
      <w:bookmarkEnd w:id="108"/>
      <w:r w:rsidRPr="001A1CAA">
        <w:rPr>
          <w:rFonts w:cs="Times New Roman"/>
          <w:szCs w:val="22"/>
        </w:rPr>
        <w:t> </w:t>
      </w:r>
    </w:p>
    <w:p w14:paraId="3E1DFB57" w14:textId="77777777" w:rsidR="009358B8" w:rsidRPr="001A1CAA" w:rsidRDefault="009358B8" w:rsidP="009358B8">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w:t>
      </w:r>
      <w:r w:rsidRPr="001A1CAA">
        <w:rPr>
          <w:rFonts w:cs="Times New Roman"/>
          <w:szCs w:val="22"/>
        </w:rPr>
        <w:lastRenderedPageBreak/>
        <w:t>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1F4004F6" w14:textId="77777777" w:rsidR="009358B8" w:rsidRPr="001A1CAA" w:rsidRDefault="009358B8" w:rsidP="009358B8">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760B085D" w14:textId="77777777" w:rsidR="009358B8" w:rsidRPr="001A1CAA" w:rsidRDefault="009358B8" w:rsidP="009358B8">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204CBE11" w14:textId="77777777" w:rsidR="009358B8" w:rsidRPr="001A1CAA" w:rsidRDefault="009358B8" w:rsidP="009358B8">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B244367" w14:textId="77777777" w:rsidR="009358B8" w:rsidRPr="001A1CAA" w:rsidRDefault="009358B8" w:rsidP="009358B8">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793AAD37" w14:textId="77777777" w:rsidR="009358B8" w:rsidRPr="001A1CAA" w:rsidRDefault="009358B8" w:rsidP="009358B8">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5B141F46" w14:textId="77777777" w:rsidR="009358B8" w:rsidRPr="001A1CAA" w:rsidRDefault="009358B8" w:rsidP="009358B8">
      <w:pPr>
        <w:numPr>
          <w:ilvl w:val="0"/>
          <w:numId w:val="33"/>
        </w:numPr>
        <w:spacing w:after="120"/>
        <w:jc w:val="both"/>
        <w:rPr>
          <w:rFonts w:cs="Times New Roman"/>
          <w:szCs w:val="22"/>
        </w:rPr>
      </w:pPr>
      <w:bookmarkStart w:id="109" w:name="_Ref61425616"/>
      <w:bookmarkStart w:id="110" w:name="_Ref19704036"/>
      <w:bookmarkStart w:id="111"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xml:space="preserve">) </w:t>
      </w:r>
      <w:r w:rsidRPr="001A1CAA">
        <w:rPr>
          <w:rFonts w:cs="Times New Roman"/>
          <w:szCs w:val="22"/>
        </w:rPr>
        <w:lastRenderedPageBreak/>
        <w:t>$_______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9"/>
    </w:p>
    <w:p w14:paraId="2E00A9DB" w14:textId="77777777" w:rsidR="009358B8" w:rsidRPr="001A1CAA" w:rsidRDefault="009358B8" w:rsidP="009358B8">
      <w:pPr>
        <w:keepNext/>
        <w:numPr>
          <w:ilvl w:val="0"/>
          <w:numId w:val="33"/>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110"/>
      <w:r w:rsidRPr="001A1CAA">
        <w:rPr>
          <w:rFonts w:cs="Times New Roman"/>
          <w:szCs w:val="22"/>
        </w:rPr>
        <w:t xml:space="preserve">   </w:t>
      </w:r>
    </w:p>
    <w:p w14:paraId="6A80FFD6"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1E3A74E" w14:textId="77777777" w:rsidR="009358B8" w:rsidRPr="001A1CAA" w:rsidRDefault="009358B8" w:rsidP="009358B8">
      <w:pPr>
        <w:numPr>
          <w:ilvl w:val="1"/>
          <w:numId w:val="33"/>
        </w:numPr>
        <w:spacing w:after="120"/>
        <w:jc w:val="both"/>
        <w:rPr>
          <w:rFonts w:cs="Times New Roman"/>
          <w:szCs w:val="22"/>
        </w:rPr>
      </w:pPr>
      <w:bookmarkStart w:id="112" w:name="_Ref25081506"/>
      <w:r w:rsidRPr="001A1CAA">
        <w:rPr>
          <w:rFonts w:cs="Times New Roman"/>
          <w:szCs w:val="22"/>
        </w:rPr>
        <w:t>Vendor warrants and represents to Customer that Vendor has never been:</w:t>
      </w:r>
      <w:bookmarkEnd w:id="112"/>
    </w:p>
    <w:p w14:paraId="45965120"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32B300C8"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1831CF6D"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49EF491C"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excluded from any state or federal healthcare program.  </w:t>
      </w:r>
    </w:p>
    <w:p w14:paraId="7BD4A011" w14:textId="77777777" w:rsidR="009358B8" w:rsidRPr="001A1CAA" w:rsidRDefault="009358B8" w:rsidP="009358B8">
      <w:pPr>
        <w:numPr>
          <w:ilvl w:val="1"/>
          <w:numId w:val="33"/>
        </w:numPr>
        <w:spacing w:after="120"/>
        <w:jc w:val="both"/>
        <w:rPr>
          <w:rFonts w:cs="Times New Roman"/>
          <w:szCs w:val="22"/>
        </w:rPr>
      </w:pPr>
      <w:bookmarkStart w:id="113"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3"/>
    </w:p>
    <w:p w14:paraId="270DB7C5"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544FC354" w14:textId="77777777" w:rsidR="009358B8" w:rsidRPr="001A1CAA" w:rsidRDefault="009358B8" w:rsidP="009358B8">
      <w:pPr>
        <w:numPr>
          <w:ilvl w:val="2"/>
          <w:numId w:val="33"/>
        </w:numPr>
        <w:spacing w:after="120"/>
        <w:jc w:val="both"/>
        <w:rPr>
          <w:rFonts w:cs="Times New Roman"/>
          <w:szCs w:val="22"/>
        </w:rPr>
      </w:pPr>
      <w:r w:rsidRPr="001A1CAA">
        <w:rPr>
          <w:rFonts w:cs="Times New Roman"/>
          <w:szCs w:val="22"/>
        </w:rPr>
        <w:t>has ever been:</w:t>
      </w:r>
    </w:p>
    <w:p w14:paraId="1305414A"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4BA66A35"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4A45412E"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sanctioned by any federal or state law enforcement, regulatory or licensing agency; or,</w:t>
      </w:r>
    </w:p>
    <w:p w14:paraId="5DE257F4" w14:textId="77777777" w:rsidR="009358B8" w:rsidRPr="001A1CAA" w:rsidRDefault="009358B8" w:rsidP="009358B8">
      <w:pPr>
        <w:numPr>
          <w:ilvl w:val="3"/>
          <w:numId w:val="33"/>
        </w:numPr>
        <w:spacing w:after="120"/>
        <w:jc w:val="both"/>
        <w:rPr>
          <w:rFonts w:cs="Times New Roman"/>
          <w:szCs w:val="22"/>
        </w:rPr>
      </w:pPr>
      <w:r w:rsidRPr="001A1CAA">
        <w:rPr>
          <w:rFonts w:cs="Times New Roman"/>
          <w:szCs w:val="22"/>
        </w:rPr>
        <w:t>excluded from any state or federal healthcare program.</w:t>
      </w:r>
    </w:p>
    <w:p w14:paraId="4F55081A"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0C24ACD5"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11"/>
    <w:p w14:paraId="7607239E"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w:t>
      </w:r>
      <w:r w:rsidRPr="001A1CAA">
        <w:rPr>
          <w:rFonts w:cs="Times New Roman"/>
          <w:szCs w:val="22"/>
        </w:rPr>
        <w:lastRenderedPageBreak/>
        <w:t>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0AEE661A" w14:textId="77777777" w:rsidR="009358B8" w:rsidRPr="001A1CAA" w:rsidRDefault="009358B8" w:rsidP="009358B8">
      <w:pPr>
        <w:keepNext/>
        <w:numPr>
          <w:ilvl w:val="0"/>
          <w:numId w:val="33"/>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76CFB71A"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9B06179" w14:textId="77777777" w:rsidR="009358B8" w:rsidRPr="001A1CAA" w:rsidRDefault="009358B8" w:rsidP="009358B8">
      <w:pPr>
        <w:numPr>
          <w:ilvl w:val="1"/>
          <w:numId w:val="33"/>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1E9830B5"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4F9149BF" w14:textId="77777777" w:rsidR="009358B8" w:rsidRPr="001A1CAA" w:rsidRDefault="009358B8" w:rsidP="009358B8">
      <w:pPr>
        <w:numPr>
          <w:ilvl w:val="0"/>
          <w:numId w:val="33"/>
        </w:numPr>
        <w:spacing w:after="120"/>
        <w:jc w:val="both"/>
        <w:rPr>
          <w:rFonts w:cs="Times New Roman"/>
          <w:szCs w:val="22"/>
        </w:rPr>
      </w:pPr>
      <w:bookmarkStart w:id="114" w:name="_Ref27554830"/>
      <w:bookmarkStart w:id="115" w:name="_Ref5113246"/>
      <w:bookmarkStart w:id="116"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7" w:name="_Hlk17968363"/>
      <w:r w:rsidRPr="001A1CAA">
        <w:rPr>
          <w:rFonts w:cs="Times New Roman"/>
          <w:szCs w:val="22"/>
        </w:rPr>
        <w:t xml:space="preserve">Texas Public Information Act </w:t>
      </w:r>
      <w:bookmarkEnd w:id="117"/>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xml:space="preserve">)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w:t>
      </w:r>
      <w:r w:rsidRPr="001A1CAA">
        <w:rPr>
          <w:rFonts w:cs="Times New Roman"/>
          <w:szCs w:val="22"/>
        </w:rPr>
        <w:lastRenderedPageBreak/>
        <w:t>responsibility for briefing, supplementing and challenging the results of any requests to the Attorney General shall be Vendor’s sole responsibility.</w:t>
      </w:r>
      <w:bookmarkEnd w:id="114"/>
      <w:bookmarkEnd w:id="115"/>
      <w:bookmarkEnd w:id="116"/>
    </w:p>
    <w:p w14:paraId="13C714DB" w14:textId="77777777" w:rsidR="009358B8" w:rsidRPr="001A1CAA" w:rsidRDefault="009358B8" w:rsidP="009358B8">
      <w:pPr>
        <w:pStyle w:val="ListParagraph"/>
        <w:keepNext/>
        <w:numPr>
          <w:ilvl w:val="0"/>
          <w:numId w:val="33"/>
        </w:numPr>
        <w:spacing w:after="120"/>
        <w:jc w:val="both"/>
        <w:rPr>
          <w:rFonts w:cs="Times New Roman"/>
        </w:rPr>
      </w:pPr>
      <w:bookmarkStart w:id="118" w:name="_Hlk19782441"/>
      <w:r w:rsidRPr="001A1CAA">
        <w:rPr>
          <w:rFonts w:cs="Times New Roman"/>
          <w:szCs w:val="22"/>
          <w:u w:val="single"/>
        </w:rPr>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9" w:name="_Hlk18509323"/>
    </w:p>
    <w:p w14:paraId="5777E1AF" w14:textId="77777777" w:rsidR="009358B8" w:rsidRPr="001A1CAA" w:rsidRDefault="009358B8" w:rsidP="009358B8">
      <w:pPr>
        <w:numPr>
          <w:ilvl w:val="1"/>
          <w:numId w:val="33"/>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20" w:name="_Hlk18510387"/>
        <w:r w:rsidRPr="001A1CAA">
          <w:rPr>
            <w:rFonts w:cs="Times New Roman"/>
            <w:u w:val="single"/>
          </w:rPr>
          <w:t>001</w:t>
        </w:r>
      </w:hyperlink>
      <w:r w:rsidRPr="001A1CAA">
        <w:rPr>
          <w:rFonts w:cs="Times New Roman"/>
        </w:rPr>
        <w:t xml:space="preserve"> et seq. </w:t>
      </w:r>
      <w:bookmarkEnd w:id="120"/>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9"/>
      <w:r w:rsidRPr="001A1CAA">
        <w:rPr>
          <w:rFonts w:cs="Times New Roman"/>
        </w:rPr>
        <w:t xml:space="preserve">  </w:t>
      </w:r>
      <w:bookmarkStart w:id="121" w:name="_Hlk18510369"/>
    </w:p>
    <w:p w14:paraId="2D19E565" w14:textId="77777777" w:rsidR="009358B8" w:rsidRPr="001A1CAA" w:rsidRDefault="009358B8" w:rsidP="009358B8">
      <w:pPr>
        <w:numPr>
          <w:ilvl w:val="1"/>
          <w:numId w:val="33"/>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21"/>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55821FF8" w14:textId="77777777" w:rsidR="009358B8" w:rsidRPr="001A1CAA" w:rsidRDefault="009358B8" w:rsidP="009358B8">
      <w:pPr>
        <w:numPr>
          <w:ilvl w:val="1"/>
          <w:numId w:val="33"/>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7C11437C" w14:textId="77777777" w:rsidR="009358B8" w:rsidRPr="001A1CAA" w:rsidRDefault="009358B8" w:rsidP="009358B8">
      <w:pPr>
        <w:numPr>
          <w:ilvl w:val="1"/>
          <w:numId w:val="33"/>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D56D672" w14:textId="77777777" w:rsidR="009358B8" w:rsidRPr="001A1CAA" w:rsidRDefault="009358B8" w:rsidP="009358B8">
      <w:pPr>
        <w:spacing w:after="120" w:line="252" w:lineRule="auto"/>
        <w:ind w:left="720"/>
        <w:contextualSpacing/>
        <w:jc w:val="both"/>
        <w:rPr>
          <w:rFonts w:cs="Times New Roman"/>
        </w:rPr>
      </w:pPr>
    </w:p>
    <w:bookmarkEnd w:id="118"/>
    <w:p w14:paraId="476DAA8E" w14:textId="77777777" w:rsidR="009358B8" w:rsidRDefault="009358B8" w:rsidP="009358B8">
      <w:pPr>
        <w:numPr>
          <w:ilvl w:val="0"/>
          <w:numId w:val="33"/>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534ECF1" w14:textId="1241BB09" w:rsidR="009358B8" w:rsidRPr="001A1CAA" w:rsidRDefault="009358B8" w:rsidP="009358B8">
      <w:pPr>
        <w:numPr>
          <w:ilvl w:val="0"/>
          <w:numId w:val="33"/>
        </w:numPr>
        <w:spacing w:after="120"/>
        <w:jc w:val="both"/>
        <w:rPr>
          <w:rFonts w:cs="Times New Roman"/>
          <w:szCs w:val="22"/>
        </w:rPr>
      </w:pPr>
      <w:r>
        <w:rPr>
          <w:rFonts w:cs="Times New Roman"/>
          <w:szCs w:val="22"/>
          <w:u w:val="single"/>
        </w:rPr>
        <w:lastRenderedPageBreak/>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9358B8">
        <w:rPr>
          <w:rFonts w:eastAsia="Calibri"/>
          <w:szCs w:val="22"/>
        </w:rPr>
        <w:t xml:space="preserve">RFP# 20251357015 Enterprise Platform Readiness </w:t>
      </w:r>
      <w:r w:rsidRPr="00ED7FF7">
        <w:rPr>
          <w:rFonts w:eastAsia="Calibri"/>
          <w:szCs w:val="22"/>
        </w:rPr>
        <w:t xml:space="preserve">Project Scope and Minimum Requirements and </w:t>
      </w:r>
      <w:r>
        <w:rPr>
          <w:rFonts w:eastAsia="Calibri"/>
          <w:szCs w:val="22"/>
        </w:rPr>
        <w:t>Vendor</w:t>
      </w:r>
      <w:r w:rsidRPr="00ED7FF7">
        <w:rPr>
          <w:rFonts w:eastAsia="Calibri"/>
          <w:szCs w:val="22"/>
        </w:rPr>
        <w:t xml:space="preserve">’s response thereto are incorporated herein; provided, however, that in the event of conflict between the terms of the </w:t>
      </w:r>
      <w:proofErr w:type="spellStart"/>
      <w:r>
        <w:rPr>
          <w:rFonts w:eastAsia="Calibri"/>
          <w:szCs w:val="22"/>
        </w:rPr>
        <w:t>RFP,Vendor’</w:t>
      </w:r>
      <w:r w:rsidRPr="00ED7FF7">
        <w:rPr>
          <w:rFonts w:eastAsia="Calibri"/>
          <w:szCs w:val="22"/>
        </w:rPr>
        <w:t>s</w:t>
      </w:r>
      <w:proofErr w:type="spellEnd"/>
      <w:r w:rsidRPr="00ED7FF7">
        <w:rPr>
          <w:rFonts w:eastAsia="Calibri"/>
          <w:szCs w:val="22"/>
        </w:rPr>
        <w:t xml:space="preserve"> Response, and this Agreement, the terms of this Agreement shall prevail.</w:t>
      </w:r>
    </w:p>
    <w:p w14:paraId="6A72ADD8"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C841E92" w14:textId="77777777" w:rsidR="009358B8" w:rsidRPr="001A1CAA" w:rsidRDefault="009358B8" w:rsidP="009358B8">
      <w:pPr>
        <w:numPr>
          <w:ilvl w:val="0"/>
          <w:numId w:val="33"/>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3959E7C" w14:textId="77777777" w:rsidR="009358B8" w:rsidRPr="001A1CAA" w:rsidRDefault="009358B8" w:rsidP="009358B8">
      <w:pPr>
        <w:numPr>
          <w:ilvl w:val="0"/>
          <w:numId w:val="33"/>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1DEDAD8D" w14:textId="77777777" w:rsidR="009358B8" w:rsidRPr="001A1CAA" w:rsidRDefault="009358B8" w:rsidP="009358B8">
      <w:pPr>
        <w:pStyle w:val="ListParagraph"/>
        <w:numPr>
          <w:ilvl w:val="0"/>
          <w:numId w:val="33"/>
        </w:numPr>
        <w:spacing w:after="120"/>
        <w:contextualSpacing w:val="0"/>
        <w:jc w:val="both"/>
        <w:rPr>
          <w:rFonts w:cs="Times New Roman"/>
          <w:szCs w:val="22"/>
        </w:rPr>
      </w:pPr>
      <w:bookmarkStart w:id="122"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C99C448413C84D738C510D8F13E96F65"/>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22"/>
    <w:p w14:paraId="4227BE08" w14:textId="77777777" w:rsidR="009358B8" w:rsidRPr="001A1CAA" w:rsidRDefault="009358B8" w:rsidP="009358B8">
      <w:pPr>
        <w:pStyle w:val="ListParagraph"/>
        <w:numPr>
          <w:ilvl w:val="0"/>
          <w:numId w:val="33"/>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09B22183" w14:textId="77777777" w:rsidR="009358B8" w:rsidRPr="001A1CAA" w:rsidRDefault="009358B8" w:rsidP="009358B8">
      <w:pPr>
        <w:pStyle w:val="ListParagraph"/>
        <w:numPr>
          <w:ilvl w:val="0"/>
          <w:numId w:val="33"/>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3"/>
    </w:p>
    <w:p w14:paraId="3DAE1C83" w14:textId="67B25EF4" w:rsidR="00A5157D" w:rsidRPr="00A5157D" w:rsidRDefault="00841E9B" w:rsidP="00A5157D">
      <w:pPr>
        <w:jc w:val="center"/>
        <w:rPr>
          <w:rFonts w:cs="Times New Roman"/>
          <w:sz w:val="32"/>
          <w:szCs w:val="32"/>
        </w:rPr>
      </w:pPr>
      <w:r w:rsidRPr="009A3EA6">
        <w:rPr>
          <w:rFonts w:cs="Times New Roman"/>
          <w:sz w:val="32"/>
          <w:szCs w:val="32"/>
        </w:rPr>
        <w:br w:type="page"/>
      </w:r>
    </w:p>
    <w:p w14:paraId="10212B6B" w14:textId="18CC0733" w:rsidR="002A3291" w:rsidRDefault="002A3291">
      <w:pPr>
        <w:spacing w:after="160" w:line="259" w:lineRule="auto"/>
        <w:rPr>
          <w:rFonts w:cs="Times New Roman"/>
        </w:rPr>
      </w:pPr>
      <w:bookmarkStart w:id="123" w:name="ExD"/>
      <w:bookmarkEnd w:id="102"/>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23"/>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0D367BEB" w:rsidR="00EC7C8E" w:rsidRPr="009A3EA6" w:rsidRDefault="00D56D59" w:rsidP="00EC7C8E">
      <w:pPr>
        <w:spacing w:after="120"/>
        <w:jc w:val="center"/>
        <w:rPr>
          <w:rFonts w:cs="Times New Roman"/>
          <w:b/>
          <w:bCs/>
          <w:sz w:val="24"/>
          <w:szCs w:val="24"/>
        </w:rPr>
      </w:pPr>
      <w:r w:rsidRPr="00D56D59">
        <w:rPr>
          <w:rFonts w:cs="Times New Roman"/>
          <w:b/>
          <w:bCs/>
          <w:sz w:val="24"/>
          <w:szCs w:val="24"/>
          <w:highlight w:val="lightGray"/>
        </w:rPr>
        <w:t>RFP#20251357015</w:t>
      </w:r>
      <w:r w:rsidRPr="00D56D59">
        <w:rPr>
          <w:rFonts w:cs="Times New Roman"/>
          <w:b/>
          <w:bCs/>
          <w:sz w:val="24"/>
          <w:szCs w:val="24"/>
          <w:highlight w:val="lightGray"/>
        </w:rPr>
        <w:br/>
        <w:t>Enterprise Platform Readiness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B41A1E"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4" w:name="Check3"/>
            <w:bookmarkEnd w:id="12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5" w:name="Check4"/>
            <w:bookmarkEnd w:id="12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6" w:name="Check5"/>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B41A1E"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7" w:name="Check6"/>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8" w:name="Check7"/>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9" w:name="Check8"/>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0" w:name="Check9"/>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1" w:name="Check10"/>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B41A1E"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2" w:name="Check11"/>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B41A1E"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3" w:name="Check12"/>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B41A1E"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4" w:name="Check16"/>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B41A1E"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5" w:name="Check13"/>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B41A1E"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6" w:name="Check17"/>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B41A1E"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7" w:name="Check15"/>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B41A1E"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8" w:name="Check18"/>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9" w:name="Check19"/>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B41A1E"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0" w:name="Check20"/>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1" w:name="Check21"/>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lastRenderedPageBreak/>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42"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42"/>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43"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94F5C9C" w14:textId="77777777" w:rsidR="00D56D59" w:rsidRPr="00D56D59" w:rsidRDefault="009F5DD7" w:rsidP="00D56D59">
            <w:pPr>
              <w:pBdr>
                <w:top w:val="nil"/>
                <w:left w:val="nil"/>
                <w:bottom w:val="nil"/>
                <w:right w:val="nil"/>
                <w:between w:val="nil"/>
              </w:pBdr>
              <w:rPr>
                <w:rFonts w:eastAsia="Calibri" w:cs="Times New Roman"/>
                <w:szCs w:val="22"/>
              </w:rPr>
            </w:pPr>
            <w:r w:rsidRPr="00733A1B">
              <w:rPr>
                <w:rFonts w:eastAsia="Calibri" w:cs="Times New Roman"/>
                <w:szCs w:val="22"/>
              </w:rPr>
              <w:t xml:space="preserve">   </w:t>
            </w:r>
            <w:r w:rsidR="00D56D59" w:rsidRPr="00D56D59">
              <w:rPr>
                <w:rFonts w:eastAsia="Calibri" w:cs="Times New Roman"/>
                <w:szCs w:val="22"/>
              </w:rPr>
              <w:t>RFP#20251357015</w:t>
            </w:r>
          </w:p>
          <w:p w14:paraId="7B2A4D24" w14:textId="64A0A35D" w:rsidR="009F5DD7" w:rsidRPr="00733A1B" w:rsidRDefault="00D56D59" w:rsidP="00D56D59">
            <w:pPr>
              <w:pBdr>
                <w:top w:val="nil"/>
                <w:left w:val="nil"/>
                <w:bottom w:val="nil"/>
                <w:right w:val="nil"/>
                <w:between w:val="nil"/>
              </w:pBdr>
              <w:rPr>
                <w:rFonts w:eastAsia="Calibri" w:cs="Times New Roman"/>
                <w:color w:val="000000"/>
                <w:szCs w:val="22"/>
              </w:rPr>
            </w:pPr>
            <w:r w:rsidRPr="00D56D59">
              <w:rPr>
                <w:rFonts w:eastAsia="Calibri" w:cs="Times New Roman"/>
                <w:szCs w:val="22"/>
              </w:rPr>
              <w:t>Enterprise Platform Readiness</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B41A1E"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B41A1E"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B41A1E"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B41A1E"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p w14:paraId="5322B451" w14:textId="3A335BAB" w:rsidR="00EC7C8E" w:rsidRPr="00DC0FCF" w:rsidRDefault="00EC7C8E" w:rsidP="00EC7C8E">
      <w:pPr>
        <w:keepNext/>
        <w:jc w:val="center"/>
        <w:rPr>
          <w:rFonts w:cs="Times New Roman"/>
          <w:b/>
          <w:sz w:val="40"/>
          <w:szCs w:val="40"/>
        </w:rPr>
      </w:pPr>
      <w:r w:rsidRPr="00DC0FCF">
        <w:rPr>
          <w:rFonts w:cs="Times New Roman"/>
          <w:b/>
          <w:sz w:val="40"/>
          <w:szCs w:val="40"/>
        </w:rPr>
        <w:lastRenderedPageBreak/>
        <w:t xml:space="preserve">Exhibit </w:t>
      </w:r>
      <w:r w:rsidR="00C67BCE">
        <w:rPr>
          <w:rFonts w:cs="Times New Roman"/>
          <w:b/>
          <w:sz w:val="40"/>
          <w:szCs w:val="40"/>
        </w:rPr>
        <w:t>G</w:t>
      </w:r>
    </w:p>
    <w:bookmarkEnd w:id="143"/>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2666A775" w14:textId="37D12BC6" w:rsidR="00EC7C8E" w:rsidRPr="00D56D59" w:rsidRDefault="00D56D59" w:rsidP="00D56D59">
      <w:pPr>
        <w:jc w:val="center"/>
        <w:rPr>
          <w:rFonts w:cs="Times New Roman"/>
          <w:b/>
          <w:bCs/>
          <w:sz w:val="28"/>
          <w:szCs w:val="28"/>
          <w:u w:val="single"/>
        </w:rPr>
      </w:pPr>
      <w:r w:rsidRPr="00D56D59">
        <w:rPr>
          <w:rFonts w:cs="Times New Roman"/>
          <w:b/>
          <w:bCs/>
          <w:sz w:val="28"/>
          <w:szCs w:val="28"/>
          <w:u w:val="single"/>
        </w:rPr>
        <w:t>RFP#20251357015</w:t>
      </w:r>
      <w:r>
        <w:rPr>
          <w:rFonts w:cs="Times New Roman"/>
          <w:b/>
          <w:bCs/>
          <w:sz w:val="28"/>
          <w:szCs w:val="28"/>
          <w:u w:val="single"/>
        </w:rPr>
        <w:t xml:space="preserve"> </w:t>
      </w:r>
      <w:r w:rsidRPr="00D56D59">
        <w:rPr>
          <w:rFonts w:cs="Times New Roman"/>
          <w:b/>
          <w:bCs/>
          <w:sz w:val="28"/>
          <w:szCs w:val="28"/>
          <w:u w:val="single"/>
        </w:rPr>
        <w:t>Enterprise Platform Readiness</w:t>
      </w:r>
    </w:p>
    <w:p w14:paraId="4B32EB8D" w14:textId="5EB93C22" w:rsidR="00EC7C8E" w:rsidRDefault="00EC7C8E" w:rsidP="00EC7C8E">
      <w:pPr>
        <w:jc w:val="both"/>
        <w:rPr>
          <w:rFonts w:cs="Times New Roman"/>
          <w:szCs w:val="22"/>
        </w:rPr>
      </w:pPr>
      <w:r w:rsidRPr="00D05E93">
        <w:rPr>
          <w:rFonts w:cs="Times New Roman"/>
          <w:szCs w:val="22"/>
        </w:rPr>
        <w:t xml:space="preserve">The Security Risk Assessment can be obtained </w:t>
      </w:r>
      <w:r w:rsidR="00D56D59">
        <w:rPr>
          <w:rFonts w:cs="Times New Roman"/>
          <w:szCs w:val="22"/>
        </w:rPr>
        <w:t>on the RFP webpage in the addendums</w:t>
      </w:r>
      <w:r w:rsidRPr="00D05E93">
        <w:rPr>
          <w:rFonts w:cs="Times New Roman"/>
          <w:szCs w:val="22"/>
        </w:rPr>
        <w:t>.</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F862C5E" w14:textId="77777777" w:rsidR="00D56D59" w:rsidRDefault="00D56D59" w:rsidP="00EC7C8E">
      <w:pPr>
        <w:jc w:val="both"/>
        <w:rPr>
          <w:rFonts w:cs="Times New Roman"/>
          <w:szCs w:val="22"/>
        </w:rPr>
      </w:pPr>
    </w:p>
    <w:p w14:paraId="78A5D66C" w14:textId="2856A889" w:rsidR="00D56D59" w:rsidRPr="00D05E93" w:rsidRDefault="00D56D59" w:rsidP="00EC7C8E">
      <w:pPr>
        <w:jc w:val="both"/>
        <w:rPr>
          <w:rFonts w:cs="Times New Roman"/>
          <w:szCs w:val="22"/>
        </w:rPr>
      </w:pPr>
      <w:r>
        <w:rPr>
          <w:rFonts w:cs="Times New Roman"/>
          <w:szCs w:val="22"/>
        </w:rPr>
        <w:t xml:space="preserve">Please note, there are more than one </w:t>
      </w:r>
      <w:proofErr w:type="gramStart"/>
      <w:r>
        <w:rPr>
          <w:rFonts w:cs="Times New Roman"/>
          <w:szCs w:val="22"/>
        </w:rPr>
        <w:t>forms</w:t>
      </w:r>
      <w:proofErr w:type="gramEnd"/>
      <w:r>
        <w:rPr>
          <w:rFonts w:cs="Times New Roman"/>
          <w:szCs w:val="22"/>
        </w:rPr>
        <w:t xml:space="preserve"> in the addendum that will need to be addressed. </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90D6" w14:textId="77777777" w:rsidR="00A71E92" w:rsidRDefault="00A71E92">
      <w:r>
        <w:separator/>
      </w:r>
    </w:p>
  </w:endnote>
  <w:endnote w:type="continuationSeparator" w:id="0">
    <w:p w14:paraId="5E925161" w14:textId="77777777" w:rsidR="00A71E92" w:rsidRDefault="00A7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3E39" w14:textId="77777777" w:rsidR="00A71E92" w:rsidRDefault="00A71E92">
      <w:r>
        <w:separator/>
      </w:r>
    </w:p>
  </w:footnote>
  <w:footnote w:type="continuationSeparator" w:id="0">
    <w:p w14:paraId="78884CEB" w14:textId="77777777" w:rsidR="00A71E92" w:rsidRDefault="00A7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3486B00"/>
    <w:multiLevelType w:val="multilevel"/>
    <w:tmpl w:val="70D2996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80C2F30"/>
    <w:multiLevelType w:val="hybridMultilevel"/>
    <w:tmpl w:val="8C18F5D2"/>
    <w:lvl w:ilvl="0" w:tplc="FFFFFFFF">
      <w:start w:val="1"/>
      <w:numFmt w:val="low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0F14A88"/>
    <w:multiLevelType w:val="multilevel"/>
    <w:tmpl w:val="3AA8AF10"/>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40A00BA2"/>
    <w:multiLevelType w:val="hybridMultilevel"/>
    <w:tmpl w:val="F9781A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42364CD8"/>
    <w:multiLevelType w:val="multilevel"/>
    <w:tmpl w:val="70D29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474B3"/>
    <w:multiLevelType w:val="hybridMultilevel"/>
    <w:tmpl w:val="9984DF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530C1C"/>
    <w:multiLevelType w:val="multilevel"/>
    <w:tmpl w:val="A7F25F78"/>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C739F3"/>
    <w:multiLevelType w:val="hybridMultilevel"/>
    <w:tmpl w:val="164253C8"/>
    <w:lvl w:ilvl="0" w:tplc="04090019">
      <w:start w:val="1"/>
      <w:numFmt w:val="lowerLetter"/>
      <w:lvlText w:val="%1."/>
      <w:lvlJc w:val="left"/>
      <w:pPr>
        <w:ind w:left="1530" w:hanging="360"/>
      </w:pPr>
    </w:lvl>
    <w:lvl w:ilvl="1" w:tplc="30D828F0">
      <w:start w:val="1"/>
      <w:numFmt w:val="decimal"/>
      <w:lvlText w:val="%2."/>
      <w:lvlJc w:val="left"/>
      <w:pPr>
        <w:ind w:left="36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F0FA6"/>
    <w:multiLevelType w:val="hybridMultilevel"/>
    <w:tmpl w:val="C590DE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DB398A"/>
    <w:multiLevelType w:val="hybridMultilevel"/>
    <w:tmpl w:val="164253C8"/>
    <w:lvl w:ilvl="0" w:tplc="FFFFFFFF">
      <w:start w:val="1"/>
      <w:numFmt w:val="lowerLetter"/>
      <w:lvlText w:val="%1."/>
      <w:lvlJc w:val="left"/>
      <w:pPr>
        <w:ind w:left="1440" w:hanging="360"/>
      </w:pPr>
    </w:lvl>
    <w:lvl w:ilvl="1" w:tplc="FFFFFFFF">
      <w:start w:val="1"/>
      <w:numFmt w:val="decimal"/>
      <w:lvlText w:val="%2."/>
      <w:lvlJc w:val="left"/>
      <w:pPr>
        <w:ind w:left="270" w:hanging="360"/>
      </w:pPr>
      <w:rPr>
        <w:b/>
        <w:bCs w:val="0"/>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52EE4A6D"/>
    <w:multiLevelType w:val="multilevel"/>
    <w:tmpl w:val="FC68DE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2F71C0"/>
    <w:multiLevelType w:val="multilevel"/>
    <w:tmpl w:val="ADCAA550"/>
    <w:lvl w:ilvl="0">
      <w:start w:val="1"/>
      <w:numFmt w:val="lowerLetter"/>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bCs/>
      </w:rPr>
    </w:lvl>
    <w:lvl w:ilvl="3">
      <w:start w:val="1"/>
      <w:numFmt w:val="lowerLetter"/>
      <w:lvlText w:val="%4."/>
      <w:lvlJc w:val="left"/>
      <w:pPr>
        <w:ind w:left="360" w:firstLine="360"/>
      </w:pPr>
      <w:rPr>
        <w:rFonts w:hint="default"/>
      </w:rPr>
    </w:lvl>
    <w:lvl w:ilvl="4">
      <w:start w:val="1"/>
      <w:numFmt w:val="lowerLetter"/>
      <w:lvlText w:val="%5."/>
      <w:lvlJc w:val="left"/>
      <w:pPr>
        <w:ind w:left="1080" w:hanging="360"/>
      </w:p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5AC91C58"/>
    <w:multiLevelType w:val="hybridMultilevel"/>
    <w:tmpl w:val="48C05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5F66229F"/>
    <w:multiLevelType w:val="multilevel"/>
    <w:tmpl w:val="14B845EA"/>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77254DC"/>
    <w:multiLevelType w:val="hybridMultilevel"/>
    <w:tmpl w:val="0292E60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78A6D55"/>
    <w:multiLevelType w:val="hybridMultilevel"/>
    <w:tmpl w:val="5E7627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1214E8C"/>
    <w:multiLevelType w:val="multilevel"/>
    <w:tmpl w:val="A8DEDC54"/>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5E9427C"/>
    <w:multiLevelType w:val="multilevel"/>
    <w:tmpl w:val="316A3E3E"/>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560335961">
    <w:abstractNumId w:val="15"/>
  </w:num>
  <w:num w:numId="2" w16cid:durableId="1325007768">
    <w:abstractNumId w:val="1"/>
  </w:num>
  <w:num w:numId="3" w16cid:durableId="1177386408">
    <w:abstractNumId w:val="0"/>
  </w:num>
  <w:num w:numId="4" w16cid:durableId="727001503">
    <w:abstractNumId w:val="21"/>
  </w:num>
  <w:num w:numId="5" w16cid:durableId="875312346">
    <w:abstractNumId w:val="6"/>
  </w:num>
  <w:num w:numId="6" w16cid:durableId="2066485262">
    <w:abstractNumId w:val="7"/>
  </w:num>
  <w:num w:numId="7" w16cid:durableId="658660109">
    <w:abstractNumId w:val="26"/>
  </w:num>
  <w:num w:numId="8"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24"/>
  </w:num>
  <w:num w:numId="12" w16cid:durableId="1451320510">
    <w:abstractNumId w:val="2"/>
  </w:num>
  <w:num w:numId="13" w16cid:durableId="1969317617">
    <w:abstractNumId w:val="8"/>
  </w:num>
  <w:num w:numId="14" w16cid:durableId="529925904">
    <w:abstractNumId w:val="28"/>
  </w:num>
  <w:num w:numId="15" w16cid:durableId="737284742">
    <w:abstractNumId w:val="10"/>
  </w:num>
  <w:num w:numId="16" w16cid:durableId="1553230419">
    <w:abstractNumId w:val="29"/>
  </w:num>
  <w:num w:numId="17" w16cid:durableId="628514300">
    <w:abstractNumId w:val="12"/>
  </w:num>
  <w:num w:numId="18" w16cid:durableId="1052999350">
    <w:abstractNumId w:val="14"/>
  </w:num>
  <w:num w:numId="19" w16cid:durableId="2008901780">
    <w:abstractNumId w:val="3"/>
  </w:num>
  <w:num w:numId="20" w16cid:durableId="1166701978">
    <w:abstractNumId w:val="30"/>
  </w:num>
  <w:num w:numId="21" w16cid:durableId="1660160357">
    <w:abstractNumId w:val="20"/>
  </w:num>
  <w:num w:numId="22" w16cid:durableId="1113675863">
    <w:abstractNumId w:val="22"/>
  </w:num>
  <w:num w:numId="23" w16cid:durableId="1430001997">
    <w:abstractNumId w:val="11"/>
  </w:num>
  <w:num w:numId="24" w16cid:durableId="339042784">
    <w:abstractNumId w:val="9"/>
  </w:num>
  <w:num w:numId="25" w16cid:durableId="1388531423">
    <w:abstractNumId w:val="25"/>
  </w:num>
  <w:num w:numId="26" w16cid:durableId="1506900872">
    <w:abstractNumId w:val="23"/>
  </w:num>
  <w:num w:numId="27" w16cid:durableId="1981958076">
    <w:abstractNumId w:val="18"/>
  </w:num>
  <w:num w:numId="28" w16cid:durableId="2096629081">
    <w:abstractNumId w:val="27"/>
  </w:num>
  <w:num w:numId="29" w16cid:durableId="4595098">
    <w:abstractNumId w:val="13"/>
  </w:num>
  <w:num w:numId="30" w16cid:durableId="163596594">
    <w:abstractNumId w:val="17"/>
  </w:num>
  <w:num w:numId="31" w16cid:durableId="237373441">
    <w:abstractNumId w:val="4"/>
  </w:num>
  <w:num w:numId="32" w16cid:durableId="757218964">
    <w:abstractNumId w:val="19"/>
  </w:num>
  <w:num w:numId="33" w16cid:durableId="177747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D5B71"/>
    <w:rsid w:val="001032B6"/>
    <w:rsid w:val="0012038E"/>
    <w:rsid w:val="001368E6"/>
    <w:rsid w:val="001570E3"/>
    <w:rsid w:val="00163245"/>
    <w:rsid w:val="0020778E"/>
    <w:rsid w:val="002202C4"/>
    <w:rsid w:val="0024704D"/>
    <w:rsid w:val="002543FB"/>
    <w:rsid w:val="002A3291"/>
    <w:rsid w:val="003B2FBB"/>
    <w:rsid w:val="003E755B"/>
    <w:rsid w:val="00407F4B"/>
    <w:rsid w:val="0041190C"/>
    <w:rsid w:val="00441605"/>
    <w:rsid w:val="0044171A"/>
    <w:rsid w:val="0044723D"/>
    <w:rsid w:val="004F0608"/>
    <w:rsid w:val="004F1984"/>
    <w:rsid w:val="00500DCE"/>
    <w:rsid w:val="0050583C"/>
    <w:rsid w:val="00563AB9"/>
    <w:rsid w:val="005B4ABF"/>
    <w:rsid w:val="005E1528"/>
    <w:rsid w:val="006208BB"/>
    <w:rsid w:val="00681B46"/>
    <w:rsid w:val="006E0B22"/>
    <w:rsid w:val="006E74CC"/>
    <w:rsid w:val="0079327D"/>
    <w:rsid w:val="007B19E8"/>
    <w:rsid w:val="007C244A"/>
    <w:rsid w:val="007D6A27"/>
    <w:rsid w:val="00822575"/>
    <w:rsid w:val="00822626"/>
    <w:rsid w:val="00841E9B"/>
    <w:rsid w:val="008F2181"/>
    <w:rsid w:val="00925D44"/>
    <w:rsid w:val="009358B8"/>
    <w:rsid w:val="00941EB5"/>
    <w:rsid w:val="00965D5F"/>
    <w:rsid w:val="009719D2"/>
    <w:rsid w:val="00992E76"/>
    <w:rsid w:val="009C28B6"/>
    <w:rsid w:val="009D2248"/>
    <w:rsid w:val="009F5DD7"/>
    <w:rsid w:val="00A47469"/>
    <w:rsid w:val="00A5157D"/>
    <w:rsid w:val="00A71E92"/>
    <w:rsid w:val="00A810C1"/>
    <w:rsid w:val="00AD130B"/>
    <w:rsid w:val="00B40084"/>
    <w:rsid w:val="00B41A1E"/>
    <w:rsid w:val="00B73B48"/>
    <w:rsid w:val="00B75412"/>
    <w:rsid w:val="00BA5F6A"/>
    <w:rsid w:val="00BB15B6"/>
    <w:rsid w:val="00BB6760"/>
    <w:rsid w:val="00C13C06"/>
    <w:rsid w:val="00C517D5"/>
    <w:rsid w:val="00C67BCE"/>
    <w:rsid w:val="00CE2B0A"/>
    <w:rsid w:val="00CF1B5E"/>
    <w:rsid w:val="00D117AF"/>
    <w:rsid w:val="00D17040"/>
    <w:rsid w:val="00D56D59"/>
    <w:rsid w:val="00D8541E"/>
    <w:rsid w:val="00DA4F62"/>
    <w:rsid w:val="00E61C1D"/>
    <w:rsid w:val="00E74DCF"/>
    <w:rsid w:val="00EB6A57"/>
    <w:rsid w:val="00EC7C8E"/>
    <w:rsid w:val="00F1414E"/>
    <w:rsid w:val="00F1466C"/>
    <w:rsid w:val="00F20C6F"/>
    <w:rsid w:val="00F219DE"/>
    <w:rsid w:val="00F3391D"/>
    <w:rsid w:val="00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68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19E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C99C448413C84D738C510D8F13E96F65"/>
        <w:category>
          <w:name w:val="General"/>
          <w:gallery w:val="placeholder"/>
        </w:category>
        <w:types>
          <w:type w:val="bbPlcHdr"/>
        </w:types>
        <w:behaviors>
          <w:behavior w:val="content"/>
        </w:behaviors>
        <w:guid w:val="{6316417F-D7D2-48EB-9AC7-77C2487FAF07}"/>
      </w:docPartPr>
      <w:docPartBody>
        <w:p w:rsidR="005A2F0C" w:rsidRDefault="0050695B" w:rsidP="0050695B">
          <w:pPr>
            <w:pStyle w:val="C99C448413C84D738C510D8F13E96F65"/>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368E6"/>
    <w:rsid w:val="001570E3"/>
    <w:rsid w:val="002543FB"/>
    <w:rsid w:val="002A7890"/>
    <w:rsid w:val="003E755B"/>
    <w:rsid w:val="0041190C"/>
    <w:rsid w:val="00441605"/>
    <w:rsid w:val="0044171A"/>
    <w:rsid w:val="00500DCE"/>
    <w:rsid w:val="0050695B"/>
    <w:rsid w:val="005A2F0C"/>
    <w:rsid w:val="005B4ABF"/>
    <w:rsid w:val="005C1BD4"/>
    <w:rsid w:val="006025BD"/>
    <w:rsid w:val="006208BB"/>
    <w:rsid w:val="006D5A21"/>
    <w:rsid w:val="006E498F"/>
    <w:rsid w:val="006E74CC"/>
    <w:rsid w:val="007D6A27"/>
    <w:rsid w:val="00800681"/>
    <w:rsid w:val="008016D9"/>
    <w:rsid w:val="00822626"/>
    <w:rsid w:val="00965D5F"/>
    <w:rsid w:val="00992E76"/>
    <w:rsid w:val="009D2248"/>
    <w:rsid w:val="009E3D10"/>
    <w:rsid w:val="00A22E5B"/>
    <w:rsid w:val="00B1219B"/>
    <w:rsid w:val="00BA5F6A"/>
    <w:rsid w:val="00CF137C"/>
    <w:rsid w:val="00CF1B5E"/>
    <w:rsid w:val="00D54A57"/>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95B"/>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C99C448413C84D738C510D8F13E96F65">
    <w:name w:val="C99C448413C84D738C510D8F13E96F65"/>
    <w:rsid w:val="005069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13765</Words>
  <Characters>79287</Characters>
  <Application>Microsoft Office Word</Application>
  <DocSecurity>0</DocSecurity>
  <Lines>1686</Lines>
  <Paragraphs>689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Deeds, Frank</cp:lastModifiedBy>
  <cp:revision>3</cp:revision>
  <dcterms:created xsi:type="dcterms:W3CDTF">2025-12-17T19:12:00Z</dcterms:created>
  <dcterms:modified xsi:type="dcterms:W3CDTF">2026-01-07T20:06:00Z</dcterms:modified>
</cp:coreProperties>
</file>