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0098D7D1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552121">
        <w:rPr>
          <w:rFonts w:cs="Times New Roman"/>
          <w:sz w:val="22"/>
          <w:szCs w:val="22"/>
        </w:rPr>
        <w:t>Feb 19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E622E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5DBC48C3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552121" w:rsidRPr="00552121">
        <w:rPr>
          <w:rFonts w:cs="Times New Roman"/>
          <w:sz w:val="22"/>
          <w:szCs w:val="22"/>
        </w:rPr>
        <w:t>RFP #20261362623 Chiller Replacement (JPOC 1400)</w:t>
      </w:r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2C984EBE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E622E">
        <w:rPr>
          <w:rFonts w:cs="Times New Roman"/>
          <w:sz w:val="22"/>
          <w:szCs w:val="22"/>
        </w:rPr>
        <w:t>Add</w:t>
      </w:r>
      <w:r w:rsidR="00552121">
        <w:rPr>
          <w:rFonts w:cs="Times New Roman"/>
          <w:sz w:val="22"/>
          <w:szCs w:val="22"/>
        </w:rPr>
        <w:t>endum</w:t>
      </w:r>
      <w:r w:rsidR="00FE622E">
        <w:rPr>
          <w:rFonts w:cs="Times New Roman"/>
          <w:sz w:val="22"/>
          <w:szCs w:val="22"/>
        </w:rPr>
        <w:t xml:space="preserve"> to RFP</w:t>
      </w:r>
    </w:p>
    <w:p w14:paraId="6CBCAC88" w14:textId="5AEB585F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FE622E">
        <w:t xml:space="preserve">following is hereby added to the initial RFP for further consideration. </w:t>
      </w:r>
    </w:p>
    <w:p w14:paraId="3CC30407" w14:textId="47EEF69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FE622E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2AC68168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552121" w:rsidRPr="00552121">
        <w:rPr>
          <w:rFonts w:cs="Times New Roman"/>
          <w:sz w:val="22"/>
          <w:szCs w:val="22"/>
        </w:rPr>
        <w:t>RFP #20261362623 Chiller Replacement (JPOC 1400)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147D794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FE622E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1D691CB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FE622E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2D3EA1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66B42300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E622E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84002BB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9944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81257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6F57D3A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AFA29A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4AD3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F2BD7EB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2A714B58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3C418AC5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4EA5114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EDFD49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525A22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548157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674DB3E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81506A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65BC74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7B6F6C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19B0BF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58B1F13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4141AF5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9A806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A84E59D" w14:textId="38ABFE88" w:rsidR="00C66D80" w:rsidRPr="00C66D80" w:rsidRDefault="00C66D80" w:rsidP="00C66D80">
      <w:pPr>
        <w:pStyle w:val="ListParagraph"/>
        <w:keepNext/>
        <w:numPr>
          <w:ilvl w:val="0"/>
          <w:numId w:val="47"/>
        </w:numPr>
        <w:autoSpaceDE w:val="0"/>
        <w:autoSpaceDN w:val="0"/>
        <w:adjustRightInd w:val="0"/>
        <w:spacing w:before="220" w:after="220"/>
        <w:rPr>
          <w:rFonts w:eastAsia="Calibri" w:cs="Book Antiqua"/>
          <w:b/>
          <w:sz w:val="22"/>
          <w:szCs w:val="20"/>
          <w:u w:val="single"/>
        </w:rPr>
      </w:pPr>
      <w:bookmarkStart w:id="0" w:name="_Ref46998735"/>
      <w:bookmarkStart w:id="1" w:name="SecD"/>
      <w:r w:rsidRPr="00C66D80">
        <w:rPr>
          <w:rFonts w:eastAsia="Calibri" w:cs="Book Antiqua"/>
          <w:b/>
          <w:sz w:val="22"/>
          <w:szCs w:val="20"/>
          <w:u w:val="single"/>
        </w:rPr>
        <w:lastRenderedPageBreak/>
        <w:t>MINIMUM REQUIREMENTS</w:t>
      </w:r>
      <w:bookmarkEnd w:id="0"/>
    </w:p>
    <w:bookmarkEnd w:id="1"/>
    <w:p w14:paraId="676983DC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General Requirements</w:t>
      </w:r>
    </w:p>
    <w:p w14:paraId="55F4883B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Contractor shall visit the site prior to bid submission to verify existing conditions.</w:t>
      </w:r>
    </w:p>
    <w:p w14:paraId="211B1C32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All work shall comply with OSHA safety standards, infection control risk assessment (ICRA) requirements, and the facility’s hot work, lockout/tagout, and shutdown procedures.</w:t>
      </w:r>
    </w:p>
    <w:p w14:paraId="28157F0F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Contractor is responsible for obtaining all necessary permits, inspections, and approvals, the AHJ or city.</w:t>
      </w:r>
    </w:p>
    <w:p w14:paraId="5BB83492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  <w:highlight w:val="green"/>
        </w:rPr>
      </w:pPr>
      <w:r w:rsidRPr="00C66D80">
        <w:rPr>
          <w:rFonts w:cs="Calibri"/>
          <w:sz w:val="22"/>
          <w:szCs w:val="22"/>
          <w:highlight w:val="green"/>
        </w:rPr>
        <w:t>•</w:t>
      </w:r>
      <w:r w:rsidRPr="00C66D80">
        <w:rPr>
          <w:rFonts w:cs="Calibri"/>
          <w:sz w:val="22"/>
          <w:szCs w:val="22"/>
          <w:highlight w:val="green"/>
        </w:rPr>
        <w:tab/>
        <w:t xml:space="preserve">Contractor is responsible for performing a pre-tab test prior to start of project and performing a post tab after the project is completed ensuring that systems are designed to specifications. </w:t>
      </w:r>
    </w:p>
    <w:p w14:paraId="44C5A1E0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  <w:highlight w:val="green"/>
        </w:rPr>
        <w:t>•</w:t>
      </w:r>
      <w:r w:rsidRPr="00C66D80">
        <w:rPr>
          <w:rFonts w:cs="Calibri"/>
          <w:sz w:val="22"/>
          <w:szCs w:val="22"/>
          <w:highlight w:val="green"/>
        </w:rPr>
        <w:tab/>
        <w:t>Contractor is responsible to provide a project manager to be site for the length of the project to ensure detail and optimum performance for the scope of work being performed.</w:t>
      </w:r>
    </w:p>
    <w:p w14:paraId="6CDFEA3C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Any power, water, or HVAC shutdowns must be coordinated and approved in advance by JPS Facilities.</w:t>
      </w:r>
    </w:p>
    <w:p w14:paraId="6529F429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Contractor shall provide detailed lift plans, rigging diagrams, and safety plans for all crane activities.</w:t>
      </w:r>
    </w:p>
    <w:p w14:paraId="1588A62F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All materials and workmanship shall be in accordance with the latest industry standards and manufacturer recommendations.</w:t>
      </w:r>
    </w:p>
    <w:p w14:paraId="365C1205" w14:textId="77777777" w:rsidR="00C66D80" w:rsidRPr="00C66D80" w:rsidRDefault="00C66D80" w:rsidP="00C66D80">
      <w:pPr>
        <w:numPr>
          <w:ilvl w:val="0"/>
          <w:numId w:val="45"/>
        </w:numPr>
        <w:spacing w:before="220" w:after="220"/>
        <w:contextualSpacing/>
        <w:jc w:val="both"/>
        <w:rPr>
          <w:rFonts w:cs="Calibri"/>
          <w:sz w:val="22"/>
          <w:szCs w:val="22"/>
        </w:rPr>
      </w:pPr>
      <w:proofErr w:type="gramStart"/>
      <w:r w:rsidRPr="00C66D80">
        <w:rPr>
          <w:rFonts w:cs="Calibri"/>
          <w:sz w:val="22"/>
          <w:szCs w:val="22"/>
        </w:rPr>
        <w:t>Contractor</w:t>
      </w:r>
      <w:proofErr w:type="gramEnd"/>
      <w:r w:rsidRPr="00C66D80">
        <w:rPr>
          <w:rFonts w:cs="Calibri"/>
          <w:sz w:val="22"/>
          <w:szCs w:val="22"/>
        </w:rPr>
        <w:t xml:space="preserve"> shall maintain a clean, organized, and safe job site throughout the duration of the project.</w:t>
      </w:r>
    </w:p>
    <w:p w14:paraId="052C2575" w14:textId="77777777" w:rsidR="00C66D80" w:rsidRPr="00C66D80" w:rsidRDefault="00C66D80" w:rsidP="00C66D80">
      <w:pPr>
        <w:numPr>
          <w:ilvl w:val="0"/>
          <w:numId w:val="45"/>
        </w:numPr>
        <w:spacing w:before="220" w:after="220"/>
        <w:contextualSpacing/>
        <w:jc w:val="both"/>
        <w:rPr>
          <w:rFonts w:cs="Calibri"/>
          <w:sz w:val="22"/>
          <w:szCs w:val="22"/>
          <w:highlight w:val="green"/>
        </w:rPr>
      </w:pPr>
      <w:proofErr w:type="gramStart"/>
      <w:r w:rsidRPr="00C66D80">
        <w:rPr>
          <w:rFonts w:cs="Calibri"/>
          <w:sz w:val="22"/>
          <w:szCs w:val="22"/>
          <w:highlight w:val="green"/>
        </w:rPr>
        <w:t>Contractor</w:t>
      </w:r>
      <w:proofErr w:type="gramEnd"/>
      <w:r w:rsidRPr="00C66D80">
        <w:rPr>
          <w:rFonts w:cs="Calibri"/>
          <w:sz w:val="22"/>
          <w:szCs w:val="22"/>
          <w:highlight w:val="green"/>
        </w:rPr>
        <w:t xml:space="preserve"> </w:t>
      </w:r>
      <w:proofErr w:type="gramStart"/>
      <w:r w:rsidRPr="00C66D80">
        <w:rPr>
          <w:rFonts w:cs="Calibri"/>
          <w:sz w:val="22"/>
          <w:szCs w:val="22"/>
          <w:highlight w:val="green"/>
        </w:rPr>
        <w:t>shall</w:t>
      </w:r>
      <w:proofErr w:type="gramEnd"/>
      <w:r w:rsidRPr="00C66D80">
        <w:rPr>
          <w:rFonts w:cs="Calibri"/>
          <w:sz w:val="22"/>
          <w:szCs w:val="22"/>
          <w:highlight w:val="green"/>
        </w:rPr>
        <w:t xml:space="preserve"> provide a third-party commission team to verify the programming, controls, building automation and performance per the specifications of the design. </w:t>
      </w:r>
    </w:p>
    <w:p w14:paraId="09A5B29A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Scope of Work</w:t>
      </w:r>
    </w:p>
    <w:p w14:paraId="34C18128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A. Demolition and Removal</w:t>
      </w:r>
    </w:p>
    <w:p w14:paraId="7E84B2BF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Isolate and lock out all utilities serving the existing chiller.</w:t>
      </w:r>
    </w:p>
    <w:p w14:paraId="43CA33B6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Remove all electrical, chilled water (CHW), and condenser water (CW) piping back to the first set of isolation valves.</w:t>
      </w:r>
    </w:p>
    <w:p w14:paraId="3F2E9D5E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Safely prepare, disconnect, and remove the existing 180-ton centrifugal chiller using approved lifting and rigging methods, coordinated with JPS Facilities.</w:t>
      </w:r>
    </w:p>
    <w:p w14:paraId="7A57E73A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Remove and dispose of all demolished materials in accordance with local environmental regulations.</w:t>
      </w:r>
    </w:p>
    <w:p w14:paraId="194E923C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B. Installation of New Chiller</w:t>
      </w:r>
    </w:p>
    <w:p w14:paraId="764CCC81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Furnish and install a new high-efficiency centrifugal chiller (Trane or York or Equivalent) of equal or greater capacity.</w:t>
      </w:r>
    </w:p>
    <w:p w14:paraId="7B4E605A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Rig and set the new chiller in the designated penthouse mechanical area per manufacturer guidelines.</w:t>
      </w:r>
    </w:p>
    <w:p w14:paraId="08D367B1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lastRenderedPageBreak/>
        <w:t>•</w:t>
      </w:r>
      <w:r w:rsidRPr="00C66D80">
        <w:rPr>
          <w:rFonts w:cs="Calibri"/>
          <w:sz w:val="22"/>
          <w:szCs w:val="22"/>
        </w:rPr>
        <w:tab/>
        <w:t>Fabricate and install new CHW and CW piping from the new chiller to the existing isolation valves, including all required fittings, supports, and anchors.</w:t>
      </w:r>
    </w:p>
    <w:p w14:paraId="313DA2AE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Replace existing isolation control valves associated with chiller 2</w:t>
      </w:r>
    </w:p>
    <w:p w14:paraId="2496BB97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Reconnect and reconfigure existing electrical power, including conduit, wiring, and disconnects, as required for the new equipment.</w:t>
      </w:r>
    </w:p>
    <w:p w14:paraId="45A7432E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Reconnect and reconfigure refrigerant relief piping to the new chiller per code.</w:t>
      </w:r>
    </w:p>
    <w:p w14:paraId="3CC925CF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Provide new pipe insulation on all new and modified piping and repair any damaged existing insulation.</w:t>
      </w:r>
    </w:p>
    <w:p w14:paraId="0BBC57D6" w14:textId="77777777" w:rsidR="00C66D80" w:rsidRPr="00C66D80" w:rsidRDefault="00C66D80" w:rsidP="00C66D80">
      <w:pPr>
        <w:numPr>
          <w:ilvl w:val="0"/>
          <w:numId w:val="46"/>
        </w:numPr>
        <w:spacing w:before="220" w:after="220" w:line="360" w:lineRule="auto"/>
        <w:contextualSpacing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 xml:space="preserve">Restore any disturbed walls, floors, or penetrations to pre installation conditions, including firestopping with STI products and finishes. </w:t>
      </w:r>
      <w:r w:rsidRPr="00C66D80">
        <w:rPr>
          <w:rFonts w:cs="Calibri"/>
          <w:sz w:val="22"/>
          <w:szCs w:val="22"/>
          <w:highlight w:val="green"/>
        </w:rPr>
        <w:t>Furnish and install metal siding and rebuilding of exterior wall for penthouse where chiller 2 is being brought in.</w:t>
      </w:r>
      <w:r w:rsidRPr="00C66D80">
        <w:rPr>
          <w:rFonts w:cs="Calibri"/>
          <w:sz w:val="22"/>
          <w:szCs w:val="22"/>
        </w:rPr>
        <w:t xml:space="preserve"> </w:t>
      </w:r>
    </w:p>
    <w:p w14:paraId="538253DB" w14:textId="77777777" w:rsidR="00C66D80" w:rsidRPr="00C66D80" w:rsidRDefault="00C66D80" w:rsidP="00C66D80">
      <w:pPr>
        <w:numPr>
          <w:ilvl w:val="0"/>
          <w:numId w:val="46"/>
        </w:numPr>
        <w:spacing w:before="220" w:after="220" w:line="360" w:lineRule="auto"/>
        <w:contextualSpacing/>
        <w:jc w:val="both"/>
        <w:rPr>
          <w:rFonts w:cs="Calibri"/>
          <w:sz w:val="22"/>
          <w:szCs w:val="22"/>
          <w:highlight w:val="green"/>
        </w:rPr>
      </w:pPr>
      <w:r w:rsidRPr="00C66D80">
        <w:rPr>
          <w:rFonts w:cs="Calibri"/>
          <w:sz w:val="22"/>
          <w:szCs w:val="22"/>
          <w:highlight w:val="green"/>
        </w:rPr>
        <w:t>Furnish and install new CHW and CW pumps that serve chiller 2.</w:t>
      </w:r>
    </w:p>
    <w:p w14:paraId="49D7CB5B" w14:textId="77777777" w:rsidR="00C66D80" w:rsidRPr="00C66D80" w:rsidRDefault="00C66D80" w:rsidP="00C66D80">
      <w:pPr>
        <w:numPr>
          <w:ilvl w:val="0"/>
          <w:numId w:val="46"/>
        </w:numPr>
        <w:spacing w:before="220" w:after="220" w:line="360" w:lineRule="auto"/>
        <w:contextualSpacing/>
        <w:jc w:val="both"/>
        <w:rPr>
          <w:rFonts w:cs="Calibri"/>
          <w:sz w:val="22"/>
          <w:szCs w:val="22"/>
          <w:highlight w:val="green"/>
        </w:rPr>
      </w:pPr>
      <w:r w:rsidRPr="00C66D80">
        <w:rPr>
          <w:rFonts w:cs="Calibri"/>
          <w:sz w:val="22"/>
          <w:szCs w:val="22"/>
          <w:highlight w:val="green"/>
        </w:rPr>
        <w:t>Furnish and install new piping, valve, actuators that serve the CHW and CW loop that serve chiller 2.</w:t>
      </w:r>
    </w:p>
    <w:p w14:paraId="76A130E1" w14:textId="77777777" w:rsidR="00C66D80" w:rsidRPr="00C66D80" w:rsidRDefault="00C66D80" w:rsidP="00C66D80">
      <w:pPr>
        <w:numPr>
          <w:ilvl w:val="0"/>
          <w:numId w:val="46"/>
        </w:numPr>
        <w:spacing w:before="220" w:after="220" w:line="360" w:lineRule="auto"/>
        <w:contextualSpacing/>
        <w:jc w:val="both"/>
        <w:rPr>
          <w:rFonts w:cs="Calibri"/>
          <w:sz w:val="22"/>
          <w:szCs w:val="22"/>
          <w:highlight w:val="green"/>
        </w:rPr>
      </w:pPr>
      <w:r w:rsidRPr="00C66D80">
        <w:rPr>
          <w:rFonts w:cs="Calibri"/>
          <w:sz w:val="22"/>
          <w:szCs w:val="22"/>
          <w:highlight w:val="green"/>
        </w:rPr>
        <w:t>Furnish and install new exhaust lover on the side of the penthouse.</w:t>
      </w:r>
    </w:p>
    <w:p w14:paraId="20DD2B3D" w14:textId="77777777" w:rsidR="00C66D80" w:rsidRPr="00C66D80" w:rsidRDefault="00C66D80" w:rsidP="00C66D80">
      <w:pPr>
        <w:numPr>
          <w:ilvl w:val="0"/>
          <w:numId w:val="46"/>
        </w:numPr>
        <w:spacing w:before="220" w:after="220" w:line="360" w:lineRule="auto"/>
        <w:contextualSpacing/>
        <w:jc w:val="both"/>
        <w:rPr>
          <w:rFonts w:cs="Calibri"/>
          <w:sz w:val="22"/>
          <w:szCs w:val="22"/>
          <w:highlight w:val="green"/>
        </w:rPr>
      </w:pPr>
      <w:r w:rsidRPr="00C66D80">
        <w:rPr>
          <w:rFonts w:cs="Calibri"/>
          <w:sz w:val="22"/>
          <w:szCs w:val="22"/>
          <w:highlight w:val="green"/>
        </w:rPr>
        <w:t xml:space="preserve">Furnish and install refrigerate alarm at entrance of mechanical room. </w:t>
      </w:r>
    </w:p>
    <w:p w14:paraId="5FD0949B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C. Controls and BAS Integration</w:t>
      </w:r>
    </w:p>
    <w:p w14:paraId="5FE1E928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Coordinate with CLIMATEC to integrate the new chiller into the existing Building Automation System (BAS).</w:t>
      </w:r>
    </w:p>
    <w:p w14:paraId="78BA7E1E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Verify all control points, alarms, and sequences of operation during startup and commissioning.</w:t>
      </w:r>
    </w:p>
    <w:p w14:paraId="258535E4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D. Startup, Testing, and Commissioning</w:t>
      </w:r>
    </w:p>
    <w:p w14:paraId="02714260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Coordinate with the manufacturer’s authorized representative for factory startup and testing.</w:t>
      </w:r>
    </w:p>
    <w:p w14:paraId="4E0C087C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Perform operational verification, system balancing, and commissioning to confirm performance per design specifications.</w:t>
      </w:r>
    </w:p>
    <w:p w14:paraId="3EAE4BF3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Provide on-site training for JPS operations and maintenance staff upon project completion.</w:t>
      </w:r>
    </w:p>
    <w:p w14:paraId="3FA47E06" w14:textId="77777777" w:rsidR="00C66D80" w:rsidRPr="00C66D80" w:rsidRDefault="00C66D80" w:rsidP="00C66D80">
      <w:pPr>
        <w:spacing w:before="220" w:after="220"/>
        <w:ind w:left="720" w:hanging="27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Deliver all as-built drawings, O&amp;M manuals, warranties, and startup reports to JPS Facilities at turnover.</w:t>
      </w:r>
    </w:p>
    <w:p w14:paraId="2483705E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________________________________________</w:t>
      </w:r>
    </w:p>
    <w:p w14:paraId="617A84DD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E. Work Schedule and Logistics</w:t>
      </w:r>
    </w:p>
    <w:p w14:paraId="3447ED66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All crane, rigging, and lifting operations shall occur on weekend days or as scheduled with JPS Facilities to minimize impact to operations.</w:t>
      </w:r>
    </w:p>
    <w:p w14:paraId="466B3719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lastRenderedPageBreak/>
        <w:t>•</w:t>
      </w:r>
      <w:r w:rsidRPr="00C66D80">
        <w:rPr>
          <w:rFonts w:cs="Calibri"/>
          <w:sz w:val="22"/>
          <w:szCs w:val="22"/>
        </w:rPr>
        <w:tab/>
        <w:t>Contractor shall coordinate delivery routes, staging areas, and temporary closures with JPS and Security.</w:t>
      </w:r>
    </w:p>
    <w:p w14:paraId="1A2D9A25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Work hours and access restrictions shall comply with facility requirements.</w:t>
      </w:r>
    </w:p>
    <w:p w14:paraId="627F2BAC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Temporary barriers, signage, and protection shall be provided to ensure safe pedestrian and staff access around the work area.</w:t>
      </w:r>
    </w:p>
    <w:p w14:paraId="43BB4219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________________________________________</w:t>
      </w:r>
    </w:p>
    <w:p w14:paraId="01E3800B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F. Contractor Deliverables</w:t>
      </w:r>
    </w:p>
    <w:p w14:paraId="0FB3DA00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Lift plan and rigging plan for equipment removal and installation.</w:t>
      </w:r>
    </w:p>
    <w:p w14:paraId="01BEE7BB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Safety plan and ICRA documentation.</w:t>
      </w:r>
    </w:p>
    <w:p w14:paraId="13CC9E1E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Commissioning plan and startup checklist.</w:t>
      </w:r>
    </w:p>
    <w:p w14:paraId="2BDAACAF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As-built drawings (mechanical, electrical, and controls).</w:t>
      </w:r>
    </w:p>
    <w:p w14:paraId="7F1F8080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O&amp;M manuals and manufacturer warranty documentation.</w:t>
      </w:r>
    </w:p>
    <w:p w14:paraId="7691A0EA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  <w:highlight w:val="green"/>
        </w:rPr>
        <w:t>•</w:t>
      </w:r>
      <w:r w:rsidRPr="00C66D80">
        <w:rPr>
          <w:rFonts w:cs="Calibri"/>
          <w:sz w:val="22"/>
          <w:szCs w:val="22"/>
          <w:highlight w:val="green"/>
        </w:rPr>
        <w:tab/>
        <w:t>Pre and Post TAB reports provided to JPS Leadership.</w:t>
      </w:r>
      <w:r w:rsidRPr="00C66D80">
        <w:rPr>
          <w:rFonts w:cs="Calibri"/>
          <w:sz w:val="22"/>
          <w:szCs w:val="22"/>
        </w:rPr>
        <w:t xml:space="preserve"> </w:t>
      </w:r>
    </w:p>
    <w:p w14:paraId="4BD718EF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  <w:highlight w:val="green"/>
        </w:rPr>
        <w:t>•</w:t>
      </w:r>
      <w:r w:rsidRPr="00C66D80">
        <w:rPr>
          <w:rFonts w:cs="Calibri"/>
          <w:sz w:val="22"/>
          <w:szCs w:val="22"/>
          <w:highlight w:val="green"/>
        </w:rPr>
        <w:tab/>
        <w:t>Training session for JPS maintenance staff on all new installed equipment and CLIMATEC controls that serve the equipment.</w:t>
      </w:r>
      <w:r w:rsidRPr="00C66D80">
        <w:rPr>
          <w:rFonts w:cs="Calibri"/>
          <w:sz w:val="22"/>
          <w:szCs w:val="22"/>
        </w:rPr>
        <w:t xml:space="preserve"> </w:t>
      </w:r>
    </w:p>
    <w:p w14:paraId="15E46045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</w:p>
    <w:p w14:paraId="754DE991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________________________________________</w:t>
      </w:r>
    </w:p>
    <w:p w14:paraId="490649D9" w14:textId="77777777" w:rsidR="00C66D80" w:rsidRPr="00C66D80" w:rsidRDefault="00C66D80" w:rsidP="00C66D80">
      <w:pPr>
        <w:spacing w:before="220" w:after="22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G. Preferred Equipment</w:t>
      </w:r>
    </w:p>
    <w:p w14:paraId="114BF283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Manufacturer: Trane or York or Equivalent.</w:t>
      </w:r>
    </w:p>
    <w:p w14:paraId="29A3358D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Calibri"/>
          <w:sz w:val="22"/>
          <w:szCs w:val="22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Type: High-efficiency centrifugal chiller.</w:t>
      </w:r>
    </w:p>
    <w:p w14:paraId="754A3145" w14:textId="77777777" w:rsidR="00C66D80" w:rsidRPr="00C66D80" w:rsidRDefault="00C66D80" w:rsidP="00C66D80">
      <w:pPr>
        <w:spacing w:before="220" w:after="220"/>
        <w:ind w:left="720" w:hanging="360"/>
        <w:jc w:val="both"/>
        <w:rPr>
          <w:rFonts w:cs="Book Antiqua"/>
          <w:sz w:val="22"/>
          <w:szCs w:val="20"/>
        </w:rPr>
      </w:pPr>
      <w:r w:rsidRPr="00C66D80">
        <w:rPr>
          <w:rFonts w:cs="Calibri"/>
          <w:sz w:val="22"/>
          <w:szCs w:val="22"/>
        </w:rPr>
        <w:t>•</w:t>
      </w:r>
      <w:r w:rsidRPr="00C66D80">
        <w:rPr>
          <w:rFonts w:cs="Calibri"/>
          <w:sz w:val="22"/>
          <w:szCs w:val="22"/>
        </w:rPr>
        <w:tab/>
        <w:t>Capacity: 125 tons (nominal).</w:t>
      </w:r>
    </w:p>
    <w:p w14:paraId="1CEF26F2" w14:textId="77777777" w:rsidR="00FE622E" w:rsidRPr="007F2008" w:rsidRDefault="00FE622E" w:rsidP="00C66D80">
      <w:pPr>
        <w:spacing w:before="220" w:after="220"/>
        <w:jc w:val="both"/>
        <w:rPr>
          <w:rFonts w:cs="Times New Roman"/>
          <w:sz w:val="22"/>
          <w:szCs w:val="22"/>
        </w:rPr>
      </w:pPr>
    </w:p>
    <w:sectPr w:rsidR="00FE622E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3B29" w14:textId="77777777" w:rsidR="00222501" w:rsidRDefault="00222501" w:rsidP="00ED66BF">
      <w:r>
        <w:separator/>
      </w:r>
    </w:p>
  </w:endnote>
  <w:endnote w:type="continuationSeparator" w:id="0">
    <w:p w14:paraId="22A8F433" w14:textId="77777777" w:rsidR="00222501" w:rsidRDefault="00222501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471F" w14:textId="77777777" w:rsidR="00222501" w:rsidRDefault="00222501" w:rsidP="00ED66BF">
      <w:r>
        <w:separator/>
      </w:r>
    </w:p>
  </w:footnote>
  <w:footnote w:type="continuationSeparator" w:id="0">
    <w:p w14:paraId="373070B6" w14:textId="77777777" w:rsidR="00222501" w:rsidRDefault="00222501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29ED6904" w:rsidR="00BF2EBC" w:rsidRDefault="00CD1085">
    <w:pPr>
      <w:pStyle w:val="Header"/>
    </w:pPr>
    <w:r>
      <w:rPr>
        <w:noProof/>
      </w:rPr>
      <w:drawing>
        <wp:inline distT="0" distB="0" distL="0" distR="0" wp14:anchorId="01584C31" wp14:editId="1B833001">
          <wp:extent cx="6725285" cy="1362075"/>
          <wp:effectExtent l="0" t="0" r="0" b="9525"/>
          <wp:docPr id="14682231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F333F7"/>
    <w:multiLevelType w:val="hybridMultilevel"/>
    <w:tmpl w:val="63F4E7E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5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2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17504"/>
    <w:multiLevelType w:val="hybridMultilevel"/>
    <w:tmpl w:val="E3EED2C4"/>
    <w:lvl w:ilvl="0" w:tplc="6EE4C04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35020"/>
    <w:multiLevelType w:val="hybridMultilevel"/>
    <w:tmpl w:val="2FD69D86"/>
    <w:lvl w:ilvl="0" w:tplc="6EE4C040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9"/>
  </w:num>
  <w:num w:numId="2" w16cid:durableId="720590359">
    <w:abstractNumId w:val="29"/>
  </w:num>
  <w:num w:numId="3" w16cid:durableId="1320381212">
    <w:abstractNumId w:val="28"/>
  </w:num>
  <w:num w:numId="4" w16cid:durableId="30696222">
    <w:abstractNumId w:val="34"/>
  </w:num>
  <w:num w:numId="5" w16cid:durableId="272594959">
    <w:abstractNumId w:val="42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6"/>
  </w:num>
  <w:num w:numId="11" w16cid:durableId="539778331">
    <w:abstractNumId w:val="43"/>
  </w:num>
  <w:num w:numId="12" w16cid:durableId="1492215877">
    <w:abstractNumId w:val="23"/>
  </w:num>
  <w:num w:numId="13" w16cid:durableId="445198113">
    <w:abstractNumId w:val="19"/>
  </w:num>
  <w:num w:numId="14" w16cid:durableId="914972320">
    <w:abstractNumId w:val="25"/>
  </w:num>
  <w:num w:numId="15" w16cid:durableId="943077101">
    <w:abstractNumId w:val="25"/>
  </w:num>
  <w:num w:numId="16" w16cid:durableId="1454205439">
    <w:abstractNumId w:val="22"/>
  </w:num>
  <w:num w:numId="17" w16cid:durableId="1188258400">
    <w:abstractNumId w:val="27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30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1"/>
  </w:num>
  <w:num w:numId="29" w16cid:durableId="305741874">
    <w:abstractNumId w:val="2"/>
  </w:num>
  <w:num w:numId="30" w16cid:durableId="6109379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4"/>
  </w:num>
  <w:num w:numId="33" w16cid:durableId="4038400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8"/>
  </w:num>
  <w:num w:numId="43" w16cid:durableId="1159736501">
    <w:abstractNumId w:val="20"/>
  </w:num>
  <w:num w:numId="44" w16cid:durableId="6871055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7488425">
    <w:abstractNumId w:val="41"/>
  </w:num>
  <w:num w:numId="46" w16cid:durableId="1860199400">
    <w:abstractNumId w:val="40"/>
  </w:num>
  <w:num w:numId="47" w16cid:durableId="1976329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29D3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6A48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267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01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454E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121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973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6D80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085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6B6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22E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933</Words>
  <Characters>5323</Characters>
  <Application>Microsoft Office Word</Application>
  <DocSecurity>0</DocSecurity>
  <Lines>98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62</cp:revision>
  <cp:lastPrinted>2016-08-29T17:44:00Z</cp:lastPrinted>
  <dcterms:created xsi:type="dcterms:W3CDTF">2023-05-19T19:29:00Z</dcterms:created>
  <dcterms:modified xsi:type="dcterms:W3CDTF">2026-02-19T21:12:00Z</dcterms:modified>
</cp:coreProperties>
</file>